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9E6F40" w:rsidRDefault="006544C4" w:rsidP="009E6F40">
      <w:pPr>
        <w:jc w:val="center"/>
        <w:rPr>
          <w:lang w:val="fr-FR"/>
        </w:rPr>
      </w:pPr>
      <w:bookmarkStart w:id="0" w:name="_GoBack"/>
      <w:bookmarkEnd w:id="0"/>
    </w:p>
    <w:p w:rsidR="006544C4" w:rsidRPr="009E6F40" w:rsidRDefault="006544C4" w:rsidP="009E6F40">
      <w:pPr>
        <w:jc w:val="center"/>
        <w:rPr>
          <w:lang w:val="fr-FR"/>
        </w:rPr>
      </w:pPr>
    </w:p>
    <w:p w:rsidR="006544C4" w:rsidRPr="009E6F40" w:rsidRDefault="005E7011" w:rsidP="009E6F40">
      <w:pPr>
        <w:pStyle w:val="DecHTitle"/>
        <w:rPr>
          <w:lang w:val="fr-FR"/>
        </w:rPr>
      </w:pPr>
      <w:r w:rsidRPr="009E6F40">
        <w:rPr>
          <w:szCs w:val="24"/>
          <w:lang w:val="fr-FR"/>
        </w:rPr>
        <w:t>QUATRIÈME SECTION</w:t>
      </w:r>
    </w:p>
    <w:p w:rsidR="006544C4" w:rsidRPr="009E6F40" w:rsidRDefault="006544C4" w:rsidP="009E6F40">
      <w:pPr>
        <w:pStyle w:val="DecHTitle"/>
        <w:rPr>
          <w:caps/>
          <w:sz w:val="32"/>
          <w:lang w:val="fr-FR"/>
        </w:rPr>
      </w:pPr>
      <w:r w:rsidRPr="009E6F40">
        <w:rPr>
          <w:lang w:val="fr-FR"/>
        </w:rPr>
        <w:t>DÉCISION</w:t>
      </w:r>
    </w:p>
    <w:p w:rsidR="006544C4" w:rsidRPr="009E6F40" w:rsidRDefault="005E7011" w:rsidP="009E6F40">
      <w:pPr>
        <w:pStyle w:val="ECHRTitleCentre2"/>
        <w:rPr>
          <w:lang w:val="fr-FR"/>
        </w:rPr>
      </w:pPr>
      <w:r w:rsidRPr="009E6F40">
        <w:rPr>
          <w:lang w:val="fr-FR"/>
        </w:rPr>
        <w:t>Requête n</w:t>
      </w:r>
      <w:r w:rsidRPr="009E6F40">
        <w:rPr>
          <w:vertAlign w:val="superscript"/>
          <w:lang w:val="fr-FR"/>
        </w:rPr>
        <w:t>o</w:t>
      </w:r>
      <w:r w:rsidR="006544C4" w:rsidRPr="009E6F40">
        <w:rPr>
          <w:lang w:val="fr-FR"/>
        </w:rPr>
        <w:t xml:space="preserve"> </w:t>
      </w:r>
      <w:r w:rsidRPr="009E6F40">
        <w:rPr>
          <w:lang w:val="fr-FR"/>
        </w:rPr>
        <w:t>29733/06</w:t>
      </w:r>
      <w:r w:rsidR="006544C4" w:rsidRPr="009E6F40">
        <w:rPr>
          <w:lang w:val="fr-FR"/>
        </w:rPr>
        <w:br/>
      </w:r>
      <w:r w:rsidRPr="009E6F40">
        <w:rPr>
          <w:lang w:val="fr-FR"/>
        </w:rPr>
        <w:t>Gerarda NARDONE</w:t>
      </w:r>
      <w:r w:rsidRPr="009E6F40">
        <w:rPr>
          <w:lang w:val="fr-FR"/>
        </w:rPr>
        <w:br/>
      </w:r>
      <w:r w:rsidR="006544C4" w:rsidRPr="009E6F40">
        <w:rPr>
          <w:lang w:val="fr-FR"/>
        </w:rPr>
        <w:t xml:space="preserve">contre </w:t>
      </w:r>
      <w:r w:rsidRPr="009E6F40">
        <w:rPr>
          <w:lang w:val="fr-FR"/>
        </w:rPr>
        <w:t>l</w:t>
      </w:r>
      <w:r w:rsidR="009E6F40" w:rsidRPr="009E6F40">
        <w:rPr>
          <w:lang w:val="fr-FR"/>
        </w:rPr>
        <w:t>’</w:t>
      </w:r>
      <w:r w:rsidRPr="009E6F40">
        <w:rPr>
          <w:lang w:val="fr-FR"/>
        </w:rPr>
        <w:t>Italie</w:t>
      </w:r>
    </w:p>
    <w:p w:rsidR="005E7011" w:rsidRPr="009E6F40" w:rsidRDefault="005E7011" w:rsidP="009E6F40">
      <w:pPr>
        <w:pStyle w:val="ECHRPara"/>
        <w:rPr>
          <w:lang w:val="fr-FR"/>
        </w:rPr>
      </w:pPr>
      <w:r w:rsidRPr="009E6F40">
        <w:rPr>
          <w:lang w:val="fr-FR"/>
        </w:rPr>
        <w:t>La Cour européenne des droits de l</w:t>
      </w:r>
      <w:r w:rsidR="009E6F40" w:rsidRPr="009E6F40">
        <w:rPr>
          <w:lang w:val="fr-FR"/>
        </w:rPr>
        <w:t>’</w:t>
      </w:r>
      <w:r w:rsidRPr="009E6F40">
        <w:rPr>
          <w:lang w:val="fr-FR"/>
        </w:rPr>
        <w:t>homme (quatrième section), siégeant le 20 octobre 2015 en un comité composé de :</w:t>
      </w:r>
    </w:p>
    <w:p w:rsidR="005E7011" w:rsidRPr="009E6F40" w:rsidRDefault="005E7011" w:rsidP="009E6F40">
      <w:pPr>
        <w:pStyle w:val="ECHRDecisionBody"/>
        <w:rPr>
          <w:lang w:val="fr-FR"/>
        </w:rPr>
      </w:pPr>
      <w:r w:rsidRPr="009E6F40">
        <w:rPr>
          <w:lang w:val="fr-FR"/>
        </w:rPr>
        <w:tab/>
        <w:t>Nona Tsotsoria,</w:t>
      </w:r>
      <w:r w:rsidRPr="009E6F40">
        <w:rPr>
          <w:i/>
          <w:lang w:val="fr-FR"/>
        </w:rPr>
        <w:t xml:space="preserve"> présidente,</w:t>
      </w:r>
      <w:r w:rsidRPr="009E6F40">
        <w:rPr>
          <w:i/>
          <w:lang w:val="fr-FR"/>
        </w:rPr>
        <w:br/>
      </w:r>
      <w:r w:rsidRPr="009E6F40">
        <w:rPr>
          <w:lang w:val="fr-FR"/>
        </w:rPr>
        <w:tab/>
        <w:t>Paul Mahoney,</w:t>
      </w:r>
      <w:r w:rsidRPr="009E6F40">
        <w:rPr>
          <w:i/>
          <w:lang w:val="fr-FR"/>
        </w:rPr>
        <w:br/>
      </w:r>
      <w:r w:rsidRPr="009E6F40">
        <w:rPr>
          <w:lang w:val="fr-FR"/>
        </w:rPr>
        <w:tab/>
        <w:t>Faris Vehabović,</w:t>
      </w:r>
      <w:r w:rsidRPr="009E6F40">
        <w:rPr>
          <w:i/>
          <w:lang w:val="fr-FR"/>
        </w:rPr>
        <w:t xml:space="preserve"> juges,</w:t>
      </w:r>
    </w:p>
    <w:p w:rsidR="005E7011" w:rsidRPr="009E6F40" w:rsidRDefault="005E7011" w:rsidP="009E6F40">
      <w:pPr>
        <w:pStyle w:val="ECHRPara"/>
        <w:ind w:firstLine="0"/>
        <w:rPr>
          <w:lang w:val="fr-FR"/>
        </w:rPr>
      </w:pPr>
      <w:r w:rsidRPr="009E6F40">
        <w:rPr>
          <w:lang w:val="fr-FR"/>
        </w:rPr>
        <w:t xml:space="preserve">et de Fatoş Aracı, </w:t>
      </w:r>
      <w:r w:rsidRPr="009E6F40">
        <w:rPr>
          <w:i/>
          <w:lang w:val="fr-FR"/>
        </w:rPr>
        <w:t>greffière adjointe de section</w:t>
      </w:r>
      <w:r w:rsidRPr="009E6F40">
        <w:rPr>
          <w:lang w:val="fr-FR"/>
        </w:rPr>
        <w:t>,</w:t>
      </w:r>
    </w:p>
    <w:p w:rsidR="005E7011" w:rsidRPr="009E6F40" w:rsidRDefault="005E7011" w:rsidP="009E6F40">
      <w:pPr>
        <w:pStyle w:val="ECHRPara"/>
        <w:rPr>
          <w:lang w:val="fr-FR"/>
        </w:rPr>
      </w:pPr>
      <w:r w:rsidRPr="009E6F40">
        <w:rPr>
          <w:lang w:val="fr-FR"/>
        </w:rPr>
        <w:t>Vu la requête susmentionnée introduite le 14 juillet 2006,</w:t>
      </w:r>
    </w:p>
    <w:p w:rsidR="005E7011" w:rsidRPr="009E6F40" w:rsidRDefault="005E7011" w:rsidP="009E6F40">
      <w:pPr>
        <w:pStyle w:val="ECHRPara"/>
        <w:rPr>
          <w:lang w:val="fr-FR"/>
        </w:rPr>
      </w:pPr>
      <w:r w:rsidRPr="009E6F40">
        <w:rPr>
          <w:lang w:val="fr-FR"/>
        </w:rPr>
        <w:t>Après en avoir délibéré, rend la décision suivante :</w:t>
      </w:r>
    </w:p>
    <w:p w:rsidR="005E7011" w:rsidRPr="009E6F40" w:rsidRDefault="005E7011" w:rsidP="009E6F40">
      <w:pPr>
        <w:pStyle w:val="ECHRTitle1"/>
        <w:rPr>
          <w:lang w:val="fr-FR"/>
        </w:rPr>
      </w:pPr>
      <w:r w:rsidRPr="009E6F40">
        <w:rPr>
          <w:lang w:val="fr-FR"/>
        </w:rPr>
        <w:t>EN FAIT</w:t>
      </w:r>
    </w:p>
    <w:p w:rsidR="005E7011" w:rsidRPr="009E6F40" w:rsidRDefault="005E7011" w:rsidP="009E6F40">
      <w:pPr>
        <w:pStyle w:val="ECHRPara"/>
        <w:rPr>
          <w:lang w:val="fr-FR"/>
        </w:rPr>
      </w:pPr>
      <w:r w:rsidRPr="009E6F40">
        <w:rPr>
          <w:lang w:val="fr-FR"/>
        </w:rPr>
        <w:t>1.  La requérante, M</w:t>
      </w:r>
      <w:r w:rsidRPr="009E6F40">
        <w:rPr>
          <w:vertAlign w:val="superscript"/>
          <w:lang w:val="fr-FR"/>
        </w:rPr>
        <w:t>me</w:t>
      </w:r>
      <w:r w:rsidRPr="009E6F40">
        <w:rPr>
          <w:lang w:val="fr-FR"/>
        </w:rPr>
        <w:t xml:space="preserve"> Gerarda Nardone, est une ressortissante italienne née en 1948 et résidant à Bénévent. Elle a été représentée devant la Cour par M</w:t>
      </w:r>
      <w:r w:rsidRPr="009E6F40">
        <w:rPr>
          <w:vertAlign w:val="superscript"/>
          <w:lang w:val="fr-FR"/>
        </w:rPr>
        <w:t>e</w:t>
      </w:r>
      <w:r w:rsidRPr="009E6F40">
        <w:rPr>
          <w:lang w:val="fr-FR"/>
        </w:rPr>
        <w:t> D. Pizzillo, avocat à Bénévent.</w:t>
      </w:r>
    </w:p>
    <w:p w:rsidR="005E7011" w:rsidRPr="009E6F40" w:rsidRDefault="005E7011" w:rsidP="009E6F40">
      <w:pPr>
        <w:pStyle w:val="ECHRPara"/>
        <w:rPr>
          <w:lang w:val="fr-FR"/>
        </w:rPr>
      </w:pPr>
      <w:r w:rsidRPr="009E6F40">
        <w:rPr>
          <w:lang w:val="fr-FR"/>
        </w:rPr>
        <w:t xml:space="preserve">2.  Le gouvernement italien (« le Gouvernement ») a été représenté par son agent, </w:t>
      </w:r>
      <w:r w:rsidRPr="009E6F40">
        <w:rPr>
          <w:color w:val="000000"/>
          <w:lang w:val="fr-FR"/>
        </w:rPr>
        <w:t>M</w:t>
      </w:r>
      <w:r w:rsidRPr="009E6F40">
        <w:rPr>
          <w:color w:val="000000"/>
          <w:vertAlign w:val="superscript"/>
          <w:lang w:val="fr-FR"/>
        </w:rPr>
        <w:t>me</w:t>
      </w:r>
      <w:r w:rsidRPr="009E6F40">
        <w:rPr>
          <w:color w:val="000000"/>
          <w:lang w:val="fr-FR"/>
        </w:rPr>
        <w:t xml:space="preserve"> E. Spatafora, son ancien coagent M. N. Lettieri, et </w:t>
      </w:r>
      <w:r w:rsidRPr="009E6F40">
        <w:rPr>
          <w:lang w:val="fr-FR"/>
        </w:rPr>
        <w:t>sa coagente M</w:t>
      </w:r>
      <w:r w:rsidRPr="009E6F40">
        <w:rPr>
          <w:vertAlign w:val="superscript"/>
          <w:lang w:val="fr-FR"/>
        </w:rPr>
        <w:t>me </w:t>
      </w:r>
      <w:r w:rsidRPr="009E6F40">
        <w:rPr>
          <w:lang w:val="fr-FR"/>
        </w:rPr>
        <w:t>P. Accardo.</w:t>
      </w:r>
    </w:p>
    <w:p w:rsidR="005E7011" w:rsidRPr="009E6F40" w:rsidRDefault="005E7011" w:rsidP="009E6F40">
      <w:pPr>
        <w:pStyle w:val="ECHRHeading2"/>
        <w:rPr>
          <w:lang w:val="fr-FR"/>
        </w:rPr>
      </w:pPr>
      <w:r w:rsidRPr="009E6F40">
        <w:rPr>
          <w:lang w:val="fr-FR"/>
        </w:rPr>
        <w:t>A.  Les circonstances de l</w:t>
      </w:r>
      <w:r w:rsidR="009E6F40" w:rsidRPr="009E6F40">
        <w:rPr>
          <w:lang w:val="fr-FR"/>
        </w:rPr>
        <w:t>’</w:t>
      </w:r>
      <w:r w:rsidRPr="009E6F40">
        <w:rPr>
          <w:lang w:val="fr-FR"/>
        </w:rPr>
        <w:t>espèce</w:t>
      </w:r>
    </w:p>
    <w:p w:rsidR="005E7011" w:rsidRPr="009E6F40" w:rsidRDefault="005E7011" w:rsidP="009E6F40">
      <w:pPr>
        <w:pStyle w:val="ECHRPara"/>
        <w:rPr>
          <w:lang w:val="fr-FR"/>
        </w:rPr>
      </w:pPr>
      <w:r w:rsidRPr="009E6F40">
        <w:rPr>
          <w:lang w:val="fr-FR"/>
        </w:rPr>
        <w:t>3.  La requérante était propriétaire d</w:t>
      </w:r>
      <w:r w:rsidR="009E6F40" w:rsidRPr="009E6F40">
        <w:rPr>
          <w:lang w:val="fr-FR"/>
        </w:rPr>
        <w:t>’</w:t>
      </w:r>
      <w:r w:rsidRPr="009E6F40">
        <w:rPr>
          <w:lang w:val="fr-FR"/>
        </w:rPr>
        <w:t>un terrain de 2400 m² sis à Calvi, enregistré au cadastre feuille 20, parcelle 132.</w:t>
      </w:r>
    </w:p>
    <w:p w:rsidR="005E7011" w:rsidRPr="009E6F40" w:rsidRDefault="005E7011" w:rsidP="009E6F40">
      <w:pPr>
        <w:pStyle w:val="ECHRPara"/>
        <w:rPr>
          <w:lang w:val="fr-FR"/>
        </w:rPr>
      </w:pPr>
      <w:r w:rsidRPr="009E6F40">
        <w:rPr>
          <w:lang w:val="fr-FR"/>
        </w:rPr>
        <w:t xml:space="preserve">4.  Le 2 avril 1990, la municipalité de Calvi approuva un </w:t>
      </w:r>
      <w:bookmarkStart w:id="1" w:name="HIT1"/>
      <w:bookmarkEnd w:id="1"/>
      <w:r w:rsidRPr="009E6F40">
        <w:rPr>
          <w:bCs/>
          <w:lang w:val="fr-FR"/>
        </w:rPr>
        <w:t>projet</w:t>
      </w:r>
      <w:r w:rsidRPr="009E6F40">
        <w:rPr>
          <w:lang w:val="fr-FR"/>
        </w:rPr>
        <w:t xml:space="preserve"> de </w:t>
      </w:r>
      <w:bookmarkStart w:id="2" w:name="HIT2"/>
      <w:bookmarkEnd w:id="2"/>
      <w:r w:rsidRPr="009E6F40">
        <w:rPr>
          <w:bCs/>
          <w:lang w:val="fr-FR"/>
        </w:rPr>
        <w:t>construction</w:t>
      </w:r>
      <w:r w:rsidRPr="009E6F40">
        <w:rPr>
          <w:lang w:val="fr-FR"/>
        </w:rPr>
        <w:t xml:space="preserve"> d</w:t>
      </w:r>
      <w:r w:rsidR="009E6F40" w:rsidRPr="009E6F40">
        <w:rPr>
          <w:lang w:val="fr-FR"/>
        </w:rPr>
        <w:t>’</w:t>
      </w:r>
      <w:r w:rsidRPr="009E6F40">
        <w:rPr>
          <w:lang w:val="fr-FR"/>
        </w:rPr>
        <w:t>habitations à loyer modéré qui devaient se réaliser sur le terrain de la requérante.</w:t>
      </w:r>
    </w:p>
    <w:p w:rsidR="005E7011" w:rsidRPr="009E6F40" w:rsidRDefault="005E7011" w:rsidP="009E6F40">
      <w:pPr>
        <w:pStyle w:val="ECHRPara"/>
        <w:rPr>
          <w:lang w:val="fr-FR"/>
        </w:rPr>
      </w:pPr>
      <w:r w:rsidRPr="009E6F40">
        <w:rPr>
          <w:lang w:val="fr-FR"/>
        </w:rPr>
        <w:lastRenderedPageBreak/>
        <w:t>5.  Par un arrêté du 31 mars 1992, la municipalité autorisa une entreprise de construction privée à occuper d</w:t>
      </w:r>
      <w:r w:rsidR="009E6F40" w:rsidRPr="009E6F40">
        <w:rPr>
          <w:lang w:val="fr-FR"/>
        </w:rPr>
        <w:t>’</w:t>
      </w:r>
      <w:r w:rsidRPr="009E6F40">
        <w:rPr>
          <w:lang w:val="fr-FR"/>
        </w:rPr>
        <w:t>urgence le terrain, pour une période de cinq ans, en vue de réaliser l</w:t>
      </w:r>
      <w:r w:rsidR="009E6F40" w:rsidRPr="009E6F40">
        <w:rPr>
          <w:lang w:val="fr-FR"/>
        </w:rPr>
        <w:t>’</w:t>
      </w:r>
      <w:r w:rsidRPr="009E6F40">
        <w:rPr>
          <w:lang w:val="fr-FR"/>
        </w:rPr>
        <w:t>œuvre publique. L</w:t>
      </w:r>
      <w:r w:rsidR="009E6F40" w:rsidRPr="009E6F40">
        <w:rPr>
          <w:lang w:val="fr-FR"/>
        </w:rPr>
        <w:t>’</w:t>
      </w:r>
      <w:r w:rsidRPr="009E6F40">
        <w:rPr>
          <w:lang w:val="fr-FR"/>
        </w:rPr>
        <w:t>occupation matérielle du terrain eut lieu le 11 juin 1992 et les travaux commencèrent le 1</w:t>
      </w:r>
      <w:r w:rsidRPr="009E6F40">
        <w:rPr>
          <w:vertAlign w:val="superscript"/>
          <w:lang w:val="fr-FR"/>
        </w:rPr>
        <w:t xml:space="preserve">er </w:t>
      </w:r>
      <w:r w:rsidRPr="009E6F40">
        <w:rPr>
          <w:lang w:val="fr-FR"/>
        </w:rPr>
        <w:t>août 1994.</w:t>
      </w:r>
    </w:p>
    <w:p w:rsidR="005E7011" w:rsidRPr="009E6F40" w:rsidRDefault="005E7011" w:rsidP="009E6F40">
      <w:pPr>
        <w:pStyle w:val="ECHRPara"/>
        <w:rPr>
          <w:lang w:val="fr-FR"/>
        </w:rPr>
      </w:pPr>
      <w:r w:rsidRPr="009E6F40">
        <w:rPr>
          <w:lang w:val="fr-FR"/>
        </w:rPr>
        <w:t>6.  Le 3 avril 1995, la municipalité, relevant que le projet de construction avait été approuvé sur la base d</w:t>
      </w:r>
      <w:r w:rsidR="009E6F40" w:rsidRPr="009E6F40">
        <w:rPr>
          <w:lang w:val="fr-FR"/>
        </w:rPr>
        <w:t>’</w:t>
      </w:r>
      <w:r w:rsidRPr="009E6F40">
        <w:rPr>
          <w:lang w:val="fr-FR"/>
        </w:rPr>
        <w:t>un plan d</w:t>
      </w:r>
      <w:r w:rsidR="009E6F40" w:rsidRPr="009E6F40">
        <w:rPr>
          <w:lang w:val="fr-FR"/>
        </w:rPr>
        <w:t>’</w:t>
      </w:r>
      <w:r w:rsidRPr="009E6F40">
        <w:rPr>
          <w:lang w:val="fr-FR"/>
        </w:rPr>
        <w:t>urbanisme dont la validité avait expiré, ordonna la suspension des travaux. Par la suite, par un arrêté du 2 juin 1995, l</w:t>
      </w:r>
      <w:r w:rsidR="009E6F40" w:rsidRPr="009E6F40">
        <w:rPr>
          <w:lang w:val="fr-FR"/>
        </w:rPr>
        <w:t>’</w:t>
      </w:r>
      <w:r w:rsidRPr="009E6F40">
        <w:rPr>
          <w:lang w:val="fr-FR"/>
        </w:rPr>
        <w:t>administration annula le permis de construire précédemment octroyé à l</w:t>
      </w:r>
      <w:r w:rsidR="009E6F40" w:rsidRPr="009E6F40">
        <w:rPr>
          <w:lang w:val="fr-FR"/>
        </w:rPr>
        <w:t>’</w:t>
      </w:r>
      <w:r w:rsidRPr="009E6F40">
        <w:rPr>
          <w:lang w:val="fr-FR"/>
        </w:rPr>
        <w:t>entreprise.</w:t>
      </w:r>
    </w:p>
    <w:p w:rsidR="005E7011" w:rsidRPr="009E6F40" w:rsidRDefault="005E7011" w:rsidP="009E6F40">
      <w:pPr>
        <w:pStyle w:val="ECHRPara"/>
        <w:rPr>
          <w:lang w:val="fr-FR"/>
        </w:rPr>
      </w:pPr>
      <w:r w:rsidRPr="009E6F40">
        <w:rPr>
          <w:lang w:val="fr-FR"/>
        </w:rPr>
        <w:t>7.  Cette dernière saisit le tribunal administratif régional de Campane qui annula l</w:t>
      </w:r>
      <w:r w:rsidR="009E6F40" w:rsidRPr="009E6F40">
        <w:rPr>
          <w:lang w:val="fr-FR"/>
        </w:rPr>
        <w:t>’</w:t>
      </w:r>
      <w:r w:rsidRPr="009E6F40">
        <w:rPr>
          <w:lang w:val="fr-FR"/>
        </w:rPr>
        <w:t>arrêté du 2 juin 1995, affirmant la légalité du permis de construire.</w:t>
      </w:r>
    </w:p>
    <w:p w:rsidR="005E7011" w:rsidRPr="009E6F40" w:rsidRDefault="005E7011" w:rsidP="009E6F40">
      <w:pPr>
        <w:pStyle w:val="ECHRPara"/>
        <w:rPr>
          <w:lang w:val="fr-FR"/>
        </w:rPr>
      </w:pPr>
      <w:r w:rsidRPr="009E6F40">
        <w:rPr>
          <w:lang w:val="fr-FR"/>
        </w:rPr>
        <w:t>8.  Par un acte du 4 octobre 1997, la requérante assigna la municipalité et l</w:t>
      </w:r>
      <w:r w:rsidR="009E6F40" w:rsidRPr="009E6F40">
        <w:rPr>
          <w:lang w:val="fr-FR"/>
        </w:rPr>
        <w:t>’</w:t>
      </w:r>
      <w:r w:rsidRPr="009E6F40">
        <w:rPr>
          <w:lang w:val="fr-FR"/>
        </w:rPr>
        <w:t>entreprise de construction devant le tribunal de Bénévent. Elle fit valoir que l</w:t>
      </w:r>
      <w:r w:rsidR="009E6F40" w:rsidRPr="009E6F40">
        <w:rPr>
          <w:lang w:val="fr-FR"/>
        </w:rPr>
        <w:t>’</w:t>
      </w:r>
      <w:r w:rsidRPr="009E6F40">
        <w:rPr>
          <w:lang w:val="fr-FR"/>
        </w:rPr>
        <w:t>occupation de son terrain était illégale et demanda la restitution ainsi que le payement d</w:t>
      </w:r>
      <w:r w:rsidR="009E6F40" w:rsidRPr="009E6F40">
        <w:rPr>
          <w:lang w:val="fr-FR"/>
        </w:rPr>
        <w:t>’</w:t>
      </w:r>
      <w:r w:rsidRPr="009E6F40">
        <w:rPr>
          <w:lang w:val="fr-FR"/>
        </w:rPr>
        <w:t>un dédommagement.</w:t>
      </w:r>
    </w:p>
    <w:p w:rsidR="005E7011" w:rsidRPr="009E6F40" w:rsidRDefault="005E7011" w:rsidP="009E6F40">
      <w:pPr>
        <w:pStyle w:val="ECHRPara"/>
        <w:rPr>
          <w:lang w:val="fr-FR"/>
        </w:rPr>
      </w:pPr>
      <w:r w:rsidRPr="009E6F40">
        <w:rPr>
          <w:color w:val="000000"/>
          <w:szCs w:val="24"/>
          <w:lang w:val="fr-FR" w:eastAsia="en-GB"/>
        </w:rPr>
        <w:t>9.  Par un jugement du 5 septembre 2007, le tribunal de Bénévent affirma que la propriété du terrain était passée à l</w:t>
      </w:r>
      <w:r w:rsidR="009E6F40" w:rsidRPr="009E6F40">
        <w:rPr>
          <w:color w:val="000000"/>
          <w:szCs w:val="24"/>
          <w:lang w:val="fr-FR" w:eastAsia="en-GB"/>
        </w:rPr>
        <w:t>’</w:t>
      </w:r>
      <w:r w:rsidRPr="009E6F40">
        <w:rPr>
          <w:color w:val="000000"/>
          <w:szCs w:val="24"/>
          <w:lang w:val="fr-FR" w:eastAsia="en-GB"/>
        </w:rPr>
        <w:t>administration par effet de l</w:t>
      </w:r>
      <w:r w:rsidR="009E6F40" w:rsidRPr="009E6F40">
        <w:rPr>
          <w:color w:val="000000"/>
          <w:szCs w:val="24"/>
          <w:lang w:val="fr-FR" w:eastAsia="en-GB"/>
        </w:rPr>
        <w:t>’</w:t>
      </w:r>
      <w:r w:rsidRPr="009E6F40">
        <w:rPr>
          <w:color w:val="000000"/>
          <w:szCs w:val="24"/>
          <w:lang w:val="fr-FR" w:eastAsia="en-GB"/>
        </w:rPr>
        <w:t>expropriation indirecte. Le tribunal</w:t>
      </w:r>
      <w:r w:rsidRPr="009E6F40">
        <w:rPr>
          <w:lang w:val="fr-FR"/>
        </w:rPr>
        <w:t xml:space="preserve"> souligna toutefois que, conformément à la jurisprudence de la Cour européenne des Droits de l</w:t>
      </w:r>
      <w:r w:rsidR="009E6F40" w:rsidRPr="009E6F40">
        <w:rPr>
          <w:lang w:val="fr-FR"/>
        </w:rPr>
        <w:t>’</w:t>
      </w:r>
      <w:r w:rsidRPr="009E6F40">
        <w:rPr>
          <w:lang w:val="fr-FR"/>
        </w:rPr>
        <w:t xml:space="preserve">Homme sur </w:t>
      </w:r>
      <w:r w:rsidRPr="009E6F40">
        <w:rPr>
          <w:color w:val="000000"/>
          <w:szCs w:val="24"/>
          <w:lang w:val="fr-FR" w:eastAsia="en-GB"/>
        </w:rPr>
        <w:t>l</w:t>
      </w:r>
      <w:r w:rsidR="009E6F40" w:rsidRPr="009E6F40">
        <w:rPr>
          <w:color w:val="000000"/>
          <w:szCs w:val="24"/>
          <w:lang w:val="fr-FR" w:eastAsia="en-GB"/>
        </w:rPr>
        <w:t>’</w:t>
      </w:r>
      <w:r w:rsidRPr="009E6F40">
        <w:rPr>
          <w:color w:val="000000"/>
          <w:szCs w:val="24"/>
          <w:lang w:val="fr-FR" w:eastAsia="en-GB"/>
        </w:rPr>
        <w:t>article 1 du Protocole n</w:t>
      </w:r>
      <w:r w:rsidRPr="009E6F40">
        <w:rPr>
          <w:color w:val="000000"/>
          <w:szCs w:val="24"/>
          <w:vertAlign w:val="superscript"/>
          <w:lang w:val="fr-FR" w:eastAsia="en-GB"/>
        </w:rPr>
        <w:t>o</w:t>
      </w:r>
      <w:r w:rsidRPr="009E6F40">
        <w:rPr>
          <w:color w:val="000000"/>
          <w:szCs w:val="24"/>
          <w:lang w:val="fr-FR" w:eastAsia="en-GB"/>
        </w:rPr>
        <w:t xml:space="preserve"> 1</w:t>
      </w:r>
      <w:r w:rsidRPr="009E6F40">
        <w:rPr>
          <w:lang w:val="fr-FR"/>
        </w:rPr>
        <w:t>, qui est contraignante pour les tribunaux nationaux, l</w:t>
      </w:r>
      <w:r w:rsidR="009E6F40" w:rsidRPr="009E6F40">
        <w:rPr>
          <w:lang w:val="fr-FR"/>
        </w:rPr>
        <w:t>’</w:t>
      </w:r>
      <w:r w:rsidRPr="009E6F40">
        <w:rPr>
          <w:lang w:val="fr-FR"/>
        </w:rPr>
        <w:t>expropriation indirecte est contraire à l</w:t>
      </w:r>
      <w:r w:rsidR="009E6F40" w:rsidRPr="009E6F40">
        <w:rPr>
          <w:lang w:val="fr-FR"/>
        </w:rPr>
        <w:t>’</w:t>
      </w:r>
      <w:r w:rsidRPr="009E6F40">
        <w:rPr>
          <w:lang w:val="fr-FR"/>
        </w:rPr>
        <w:t>article 1 du Protocole no 1 de la Convention, et entraîne l</w:t>
      </w:r>
      <w:r w:rsidR="009E6F40" w:rsidRPr="009E6F40">
        <w:rPr>
          <w:lang w:val="fr-FR"/>
        </w:rPr>
        <w:t>’</w:t>
      </w:r>
      <w:r w:rsidRPr="009E6F40">
        <w:rPr>
          <w:lang w:val="fr-FR"/>
        </w:rPr>
        <w:t>obligation pour l</w:t>
      </w:r>
      <w:r w:rsidR="009E6F40" w:rsidRPr="009E6F40">
        <w:rPr>
          <w:lang w:val="fr-FR"/>
        </w:rPr>
        <w:t>’</w:t>
      </w:r>
      <w:r w:rsidRPr="009E6F40">
        <w:rPr>
          <w:lang w:val="fr-FR"/>
        </w:rPr>
        <w:t>administration de verser aux intéressés un dédommagement à hauteur de la valeur vénale du terrain exproprié. Dès lors, le tribunal accorda à la requérante un dédommagement de 46 481,12 EUR, correspondant à la valeur vénale du terrain, plus réévaluation et intérêts.</w:t>
      </w:r>
    </w:p>
    <w:p w:rsidR="005E7011" w:rsidRPr="009E6F40" w:rsidRDefault="005E7011" w:rsidP="009E6F40">
      <w:pPr>
        <w:pStyle w:val="ECHRPara"/>
        <w:rPr>
          <w:lang w:val="fr-FR"/>
        </w:rPr>
      </w:pPr>
      <w:r w:rsidRPr="009E6F40">
        <w:rPr>
          <w:lang w:val="fr-FR"/>
        </w:rPr>
        <w:t>10.  Contestant le montant de cette indemnité, la société coopérative fit appel de ce jugement devant la cour d</w:t>
      </w:r>
      <w:r w:rsidR="009E6F40" w:rsidRPr="009E6F40">
        <w:rPr>
          <w:lang w:val="fr-FR"/>
        </w:rPr>
        <w:t>’</w:t>
      </w:r>
      <w:r w:rsidRPr="009E6F40">
        <w:rPr>
          <w:lang w:val="fr-FR"/>
        </w:rPr>
        <w:t>appel de Naples. Elle se plaignait de ce que le tribunal de Bénévent n</w:t>
      </w:r>
      <w:r w:rsidR="009E6F40" w:rsidRPr="009E6F40">
        <w:rPr>
          <w:lang w:val="fr-FR"/>
        </w:rPr>
        <w:t>’</w:t>
      </w:r>
      <w:r w:rsidRPr="009E6F40">
        <w:rPr>
          <w:lang w:val="fr-FR"/>
        </w:rPr>
        <w:t>avait pas appliqué l</w:t>
      </w:r>
      <w:r w:rsidR="009E6F40" w:rsidRPr="009E6F40">
        <w:rPr>
          <w:lang w:val="fr-FR"/>
        </w:rPr>
        <w:t>’</w:t>
      </w:r>
      <w:r w:rsidRPr="009E6F40">
        <w:rPr>
          <w:lang w:val="fr-FR"/>
        </w:rPr>
        <w:t>article 5 bis du décret-loi n</w:t>
      </w:r>
      <w:r w:rsidRPr="009E6F40">
        <w:rPr>
          <w:vertAlign w:val="superscript"/>
          <w:lang w:val="fr-FR"/>
        </w:rPr>
        <w:t>o</w:t>
      </w:r>
      <w:r w:rsidRPr="009E6F40">
        <w:rPr>
          <w:lang w:val="fr-FR"/>
        </w:rPr>
        <w:t>  333 du 11 juillet 1992, tel que modifié par la loi n</w:t>
      </w:r>
      <w:r w:rsidRPr="009E6F40">
        <w:rPr>
          <w:vertAlign w:val="superscript"/>
          <w:lang w:val="fr-FR"/>
        </w:rPr>
        <w:t>o</w:t>
      </w:r>
      <w:r w:rsidRPr="009E6F40">
        <w:rPr>
          <w:lang w:val="fr-FR"/>
        </w:rPr>
        <w:t>  662 de 1996.</w:t>
      </w:r>
    </w:p>
    <w:p w:rsidR="005E7011" w:rsidRPr="009E6F40" w:rsidRDefault="005E7011" w:rsidP="009E6F40">
      <w:pPr>
        <w:pStyle w:val="ECHRPara"/>
        <w:rPr>
          <w:lang w:val="fr-FR"/>
        </w:rPr>
      </w:pPr>
      <w:r w:rsidRPr="009E6F40">
        <w:rPr>
          <w:lang w:val="fr-FR"/>
        </w:rPr>
        <w:t>11.  Par un jugement du 10 novembre 2010, la cour d</w:t>
      </w:r>
      <w:r w:rsidR="009E6F40" w:rsidRPr="009E6F40">
        <w:rPr>
          <w:lang w:val="fr-FR"/>
        </w:rPr>
        <w:t>’</w:t>
      </w:r>
      <w:r w:rsidRPr="009E6F40">
        <w:rPr>
          <w:lang w:val="fr-FR"/>
        </w:rPr>
        <w:t>appel de Naples rejeta l</w:t>
      </w:r>
      <w:r w:rsidR="009E6F40" w:rsidRPr="009E6F40">
        <w:rPr>
          <w:lang w:val="fr-FR"/>
        </w:rPr>
        <w:t>’</w:t>
      </w:r>
      <w:r w:rsidRPr="009E6F40">
        <w:rPr>
          <w:lang w:val="fr-FR"/>
        </w:rPr>
        <w:t>appel de la société et confirma le jugement du tribunal de Bénévent. Elle constata que la décision du juge de première instance avait été prise conformément à la jurisprudence de la Cour Européenne des Droits de l</w:t>
      </w:r>
      <w:r w:rsidR="009E6F40" w:rsidRPr="009E6F40">
        <w:rPr>
          <w:lang w:val="fr-FR"/>
        </w:rPr>
        <w:t>’</w:t>
      </w:r>
      <w:r w:rsidRPr="009E6F40">
        <w:rPr>
          <w:lang w:val="fr-FR"/>
        </w:rPr>
        <w:t>Homme. En outre, la cour souligna que entre-temps, la Cour Constitutionnelle italienne avait déclaré l</w:t>
      </w:r>
      <w:r w:rsidR="009E6F40" w:rsidRPr="009E6F40">
        <w:rPr>
          <w:lang w:val="fr-FR"/>
        </w:rPr>
        <w:t>’</w:t>
      </w:r>
      <w:r w:rsidRPr="009E6F40">
        <w:rPr>
          <w:lang w:val="fr-FR"/>
        </w:rPr>
        <w:t>inconstitutionnalité de l</w:t>
      </w:r>
      <w:r w:rsidR="009E6F40" w:rsidRPr="009E6F40">
        <w:rPr>
          <w:lang w:val="fr-FR"/>
        </w:rPr>
        <w:t>’</w:t>
      </w:r>
      <w:r w:rsidRPr="009E6F40">
        <w:rPr>
          <w:lang w:val="fr-FR"/>
        </w:rPr>
        <w:t>article 5 bis du décret-loi n</w:t>
      </w:r>
      <w:r w:rsidRPr="009E6F40">
        <w:rPr>
          <w:vertAlign w:val="superscript"/>
          <w:lang w:val="fr-FR"/>
        </w:rPr>
        <w:t>o</w:t>
      </w:r>
      <w:r w:rsidRPr="009E6F40">
        <w:rPr>
          <w:lang w:val="fr-FR"/>
        </w:rPr>
        <w:t>  333 du 11 juillet 1992, tel que modifié par la loi n</w:t>
      </w:r>
      <w:r w:rsidRPr="009E6F40">
        <w:rPr>
          <w:vertAlign w:val="superscript"/>
          <w:lang w:val="fr-FR"/>
        </w:rPr>
        <w:t>o</w:t>
      </w:r>
      <w:r w:rsidRPr="009E6F40">
        <w:rPr>
          <w:lang w:val="fr-FR"/>
        </w:rPr>
        <w:t>  662 de 1996.</w:t>
      </w:r>
    </w:p>
    <w:p w:rsidR="005E7011" w:rsidRPr="009E6F40" w:rsidRDefault="005E7011" w:rsidP="009E6F40">
      <w:pPr>
        <w:pStyle w:val="ECHRHeading2"/>
        <w:rPr>
          <w:lang w:val="fr-FR"/>
        </w:rPr>
      </w:pPr>
      <w:r w:rsidRPr="009E6F40">
        <w:rPr>
          <w:lang w:val="fr-FR"/>
        </w:rPr>
        <w:t>B.  Le droit et la pratique internes pertinents</w:t>
      </w:r>
    </w:p>
    <w:p w:rsidR="005E7011" w:rsidRPr="009E6F40" w:rsidRDefault="005E7011" w:rsidP="009E6F40">
      <w:pPr>
        <w:pStyle w:val="ECHRPara"/>
        <w:rPr>
          <w:snapToGrid w:val="0"/>
          <w:lang w:val="fr-FR"/>
        </w:rPr>
      </w:pPr>
      <w:r w:rsidRPr="009E6F40">
        <w:rPr>
          <w:lang w:val="fr-FR"/>
        </w:rPr>
        <w:t>12.  Le droit interne pertinent se trouve décrit dans l</w:t>
      </w:r>
      <w:r w:rsidR="009E6F40" w:rsidRPr="009E6F40">
        <w:rPr>
          <w:lang w:val="fr-FR"/>
        </w:rPr>
        <w:t>’</w:t>
      </w:r>
      <w:r w:rsidRPr="009E6F40">
        <w:rPr>
          <w:lang w:val="fr-FR"/>
        </w:rPr>
        <w:t xml:space="preserve">arrêt </w:t>
      </w:r>
      <w:r w:rsidRPr="009E6F40">
        <w:rPr>
          <w:i/>
          <w:lang w:val="fr-FR"/>
        </w:rPr>
        <w:t xml:space="preserve">Guiso-Gallisay c. Italie </w:t>
      </w:r>
      <w:r w:rsidRPr="009E6F40">
        <w:rPr>
          <w:lang w:val="fr-FR"/>
        </w:rPr>
        <w:t>(satisfaction équitable) [GC], n</w:t>
      </w:r>
      <w:r w:rsidRPr="009E6F40">
        <w:rPr>
          <w:vertAlign w:val="superscript"/>
          <w:lang w:val="fr-FR"/>
        </w:rPr>
        <w:t>o</w:t>
      </w:r>
      <w:r w:rsidRPr="009E6F40">
        <w:rPr>
          <w:lang w:val="fr-FR"/>
        </w:rPr>
        <w:t xml:space="preserve"> 58858/00</w:t>
      </w:r>
      <w:r w:rsidRPr="009E6F40">
        <w:rPr>
          <w:snapToGrid w:val="0"/>
          <w:lang w:val="fr-FR"/>
        </w:rPr>
        <w:t xml:space="preserve">, 22 </w:t>
      </w:r>
      <w:r w:rsidRPr="009E6F40">
        <w:rPr>
          <w:lang w:val="fr-FR"/>
        </w:rPr>
        <w:t>décembre</w:t>
      </w:r>
      <w:r w:rsidRPr="009E6F40">
        <w:rPr>
          <w:snapToGrid w:val="0"/>
          <w:lang w:val="fr-FR"/>
        </w:rPr>
        <w:t xml:space="preserve"> 2009 (§§</w:t>
      </w:r>
      <w:r w:rsidRPr="009E6F40">
        <w:rPr>
          <w:lang w:val="fr-FR"/>
        </w:rPr>
        <w:t> </w:t>
      </w:r>
      <w:r w:rsidRPr="009E6F40">
        <w:rPr>
          <w:snapToGrid w:val="0"/>
          <w:lang w:val="fr-FR"/>
        </w:rPr>
        <w:t>16-48).</w:t>
      </w:r>
    </w:p>
    <w:p w:rsidR="005E7011" w:rsidRPr="009E6F40" w:rsidRDefault="005E7011" w:rsidP="009E6F40">
      <w:pPr>
        <w:pStyle w:val="ECHRPara"/>
        <w:rPr>
          <w:lang w:val="fr-FR" w:eastAsia="en-GB"/>
        </w:rPr>
      </w:pPr>
      <w:r w:rsidRPr="009E6F40">
        <w:rPr>
          <w:snapToGrid w:val="0"/>
          <w:lang w:val="fr-FR"/>
        </w:rPr>
        <w:lastRenderedPageBreak/>
        <w:t>13.  </w:t>
      </w:r>
      <w:r w:rsidRPr="009E6F40">
        <w:rPr>
          <w:lang w:val="fr-FR"/>
        </w:rPr>
        <w:t>La Cour note que p</w:t>
      </w:r>
      <w:r w:rsidRPr="009E6F40">
        <w:rPr>
          <w:lang w:val="fr-FR" w:eastAsia="en-GB"/>
        </w:rPr>
        <w:t>ar les arrêts n</w:t>
      </w:r>
      <w:r w:rsidRPr="009E6F40">
        <w:rPr>
          <w:vertAlign w:val="superscript"/>
          <w:lang w:val="fr-FR" w:eastAsia="en-GB"/>
        </w:rPr>
        <w:t>os</w:t>
      </w:r>
      <w:r w:rsidRPr="009E6F40">
        <w:rPr>
          <w:lang w:val="fr-FR" w:eastAsia="en-GB"/>
        </w:rPr>
        <w:t xml:space="preserve"> 348 et 349 du 22 octobre 2007, la Cour constitutionnelle a jugé que la loi interne doit être compatible avec la Convention dans l</w:t>
      </w:r>
      <w:r w:rsidR="009E6F40" w:rsidRPr="009E6F40">
        <w:rPr>
          <w:lang w:val="fr-FR" w:eastAsia="en-GB"/>
        </w:rPr>
        <w:t>’</w:t>
      </w:r>
      <w:r w:rsidRPr="009E6F40">
        <w:rPr>
          <w:lang w:val="fr-FR" w:eastAsia="en-GB"/>
        </w:rPr>
        <w:t>interprétation donnée par la jurisprudence de la Cour et, par conséquent, a déclaré inconstitutionnel l</w:t>
      </w:r>
      <w:r w:rsidR="009E6F40" w:rsidRPr="009E6F40">
        <w:rPr>
          <w:lang w:val="fr-FR" w:eastAsia="en-GB"/>
        </w:rPr>
        <w:t>’</w:t>
      </w:r>
      <w:r w:rsidRPr="009E6F40">
        <w:rPr>
          <w:lang w:val="fr-FR" w:eastAsia="en-GB"/>
        </w:rPr>
        <w:t xml:space="preserve">article 5 </w:t>
      </w:r>
      <w:r w:rsidRPr="009E6F40">
        <w:rPr>
          <w:i/>
          <w:lang w:val="fr-FR" w:eastAsia="en-GB"/>
        </w:rPr>
        <w:t>bis</w:t>
      </w:r>
      <w:r w:rsidRPr="009E6F40">
        <w:rPr>
          <w:lang w:val="fr-FR" w:eastAsia="en-GB"/>
        </w:rPr>
        <w:t xml:space="preserve"> du décret-loi n</w:t>
      </w:r>
      <w:r w:rsidRPr="009E6F40">
        <w:rPr>
          <w:vertAlign w:val="superscript"/>
          <w:lang w:val="fr-FR" w:eastAsia="en-GB"/>
        </w:rPr>
        <w:t>o</w:t>
      </w:r>
      <w:r w:rsidRPr="009E6F40">
        <w:rPr>
          <w:lang w:val="fr-FR" w:eastAsia="en-GB"/>
        </w:rPr>
        <w:t> 333 du 11 juillet 1992, tel que modifié par la loi n</w:t>
      </w:r>
      <w:r w:rsidRPr="009E6F40">
        <w:rPr>
          <w:vertAlign w:val="superscript"/>
          <w:lang w:val="fr-FR" w:eastAsia="en-GB"/>
        </w:rPr>
        <w:t>o</w:t>
      </w:r>
      <w:r w:rsidRPr="009E6F40">
        <w:rPr>
          <w:lang w:val="fr-FR" w:eastAsia="en-GB"/>
        </w:rPr>
        <w:t xml:space="preserve"> 662 de 1996.</w:t>
      </w:r>
    </w:p>
    <w:p w:rsidR="005E7011" w:rsidRPr="009E6F40" w:rsidRDefault="005E7011" w:rsidP="009E6F40">
      <w:pPr>
        <w:pStyle w:val="ECHRPara"/>
        <w:rPr>
          <w:lang w:val="fr-FR" w:eastAsia="en-GB"/>
        </w:rPr>
      </w:pPr>
      <w:r w:rsidRPr="009E6F40">
        <w:rPr>
          <w:lang w:val="fr-FR" w:eastAsia="en-GB"/>
        </w:rPr>
        <w:t>14.  La Cour constitutionnelle, dans l</w:t>
      </w:r>
      <w:r w:rsidR="009E6F40" w:rsidRPr="009E6F40">
        <w:rPr>
          <w:lang w:val="fr-FR" w:eastAsia="en-GB"/>
        </w:rPr>
        <w:t>’</w:t>
      </w:r>
      <w:r w:rsidRPr="009E6F40">
        <w:rPr>
          <w:lang w:val="fr-FR" w:eastAsia="en-GB"/>
        </w:rPr>
        <w:t>arrêt n</w:t>
      </w:r>
      <w:r w:rsidRPr="009E6F40">
        <w:rPr>
          <w:vertAlign w:val="superscript"/>
          <w:lang w:val="fr-FR" w:eastAsia="en-GB"/>
        </w:rPr>
        <w:t>o</w:t>
      </w:r>
      <w:r w:rsidRPr="009E6F40">
        <w:rPr>
          <w:lang w:val="fr-FR" w:eastAsia="en-GB"/>
        </w:rPr>
        <w:t xml:space="preserve"> 349, a relevé que le niveau insuffisant d</w:t>
      </w:r>
      <w:r w:rsidR="009E6F40" w:rsidRPr="009E6F40">
        <w:rPr>
          <w:lang w:val="fr-FR" w:eastAsia="en-GB"/>
        </w:rPr>
        <w:t>’</w:t>
      </w:r>
      <w:r w:rsidRPr="009E6F40">
        <w:rPr>
          <w:lang w:val="fr-FR" w:eastAsia="en-GB"/>
        </w:rPr>
        <w:t>indemnisation prévu par la loi de 1996 était contraire à l</w:t>
      </w:r>
      <w:r w:rsidR="009E6F40" w:rsidRPr="009E6F40">
        <w:rPr>
          <w:lang w:val="fr-FR" w:eastAsia="en-GB"/>
        </w:rPr>
        <w:t>’</w:t>
      </w:r>
      <w:r w:rsidRPr="009E6F40">
        <w:rPr>
          <w:lang w:val="fr-FR" w:eastAsia="en-GB"/>
        </w:rPr>
        <w:t>article 1 du Protocole n</w:t>
      </w:r>
      <w:r w:rsidRPr="009E6F40">
        <w:rPr>
          <w:vertAlign w:val="superscript"/>
          <w:lang w:val="fr-FR" w:eastAsia="en-GB"/>
        </w:rPr>
        <w:t>o</w:t>
      </w:r>
      <w:r w:rsidRPr="009E6F40">
        <w:rPr>
          <w:lang w:val="fr-FR" w:eastAsia="en-GB"/>
        </w:rPr>
        <w:t xml:space="preserve"> 1 et par conséquent à l</w:t>
      </w:r>
      <w:r w:rsidR="009E6F40" w:rsidRPr="009E6F40">
        <w:rPr>
          <w:lang w:val="fr-FR" w:eastAsia="en-GB"/>
        </w:rPr>
        <w:t>’</w:t>
      </w:r>
      <w:r w:rsidRPr="009E6F40">
        <w:rPr>
          <w:lang w:val="fr-FR" w:eastAsia="en-GB"/>
        </w:rPr>
        <w:t>article 117 de la Constitution italienne, lequel prévoit le respect des obligations internationales. Depuis cet arrêt, ladite disposition ne peut plus être appliquée dans le cadre des procédures nationales encore pendantes.</w:t>
      </w:r>
    </w:p>
    <w:p w:rsidR="005E7011" w:rsidRPr="009E6F40" w:rsidRDefault="005E7011" w:rsidP="009E6F40">
      <w:pPr>
        <w:pStyle w:val="ECHRPara"/>
        <w:rPr>
          <w:lang w:val="fr-FR" w:eastAsia="en-GB"/>
        </w:rPr>
      </w:pPr>
      <w:r w:rsidRPr="009E6F40">
        <w:rPr>
          <w:lang w:val="fr-FR" w:eastAsia="en-GB"/>
        </w:rPr>
        <w:t xml:space="preserve">15.  Suite aux arrêts de la Cour constitutionnelle, des modifications législatives sont intervenues en droit interne. </w:t>
      </w:r>
      <w:r w:rsidRPr="009E6F40">
        <w:rPr>
          <w:lang w:val="fr-FR"/>
        </w:rPr>
        <w:t>L</w:t>
      </w:r>
      <w:r w:rsidR="009E6F40" w:rsidRPr="009E6F40">
        <w:rPr>
          <w:lang w:val="fr-FR"/>
        </w:rPr>
        <w:t>’</w:t>
      </w:r>
      <w:r w:rsidRPr="009E6F40">
        <w:rPr>
          <w:lang w:val="fr-FR"/>
        </w:rPr>
        <w:t>article 2/89 e) de la loi de finances n</w:t>
      </w:r>
      <w:r w:rsidRPr="009E6F40">
        <w:rPr>
          <w:vertAlign w:val="superscript"/>
          <w:lang w:val="fr-FR"/>
        </w:rPr>
        <w:t>o</w:t>
      </w:r>
      <w:r w:rsidRPr="009E6F40">
        <w:rPr>
          <w:lang w:val="fr-FR"/>
        </w:rPr>
        <w:t xml:space="preserve"> 244 de 2007 a établi que dans un cas d</w:t>
      </w:r>
      <w:r w:rsidR="009E6F40" w:rsidRPr="009E6F40">
        <w:rPr>
          <w:lang w:val="fr-FR"/>
        </w:rPr>
        <w:t>’</w:t>
      </w:r>
      <w:r w:rsidRPr="009E6F40">
        <w:rPr>
          <w:lang w:val="fr-FR"/>
        </w:rPr>
        <w:t>expropriation indirecte le dédommagement doit correspondre à la valeur vénale des biens, aucune réduction n</w:t>
      </w:r>
      <w:r w:rsidR="009E6F40" w:rsidRPr="009E6F40">
        <w:rPr>
          <w:lang w:val="fr-FR"/>
        </w:rPr>
        <w:t>’</w:t>
      </w:r>
      <w:r w:rsidRPr="009E6F40">
        <w:rPr>
          <w:lang w:val="fr-FR"/>
        </w:rPr>
        <w:t>étant admise.</w:t>
      </w:r>
    </w:p>
    <w:p w:rsidR="005E7011" w:rsidRPr="009E6F40" w:rsidRDefault="005E7011" w:rsidP="009E6F40">
      <w:pPr>
        <w:pStyle w:val="ECHRPara"/>
        <w:rPr>
          <w:lang w:val="fr-FR"/>
        </w:rPr>
      </w:pPr>
      <w:r w:rsidRPr="009E6F40">
        <w:rPr>
          <w:lang w:val="fr-FR"/>
        </w:rPr>
        <w:t>16.  Cette disposition est applicable à toutes les procédures en cours au 1</w:t>
      </w:r>
      <w:r w:rsidRPr="009E6F40">
        <w:rPr>
          <w:vertAlign w:val="superscript"/>
          <w:lang w:val="fr-FR"/>
        </w:rPr>
        <w:t>er</w:t>
      </w:r>
      <w:r w:rsidRPr="009E6F40">
        <w:rPr>
          <w:position w:val="6"/>
          <w:lang w:val="fr-FR"/>
        </w:rPr>
        <w:t xml:space="preserve"> </w:t>
      </w:r>
      <w:r w:rsidRPr="009E6F40">
        <w:rPr>
          <w:lang w:val="fr-FR"/>
        </w:rPr>
        <w:t>janvier 2008, sauf celles où la décision sur l</w:t>
      </w:r>
      <w:r w:rsidR="009E6F40" w:rsidRPr="009E6F40">
        <w:rPr>
          <w:lang w:val="fr-FR"/>
        </w:rPr>
        <w:t>’</w:t>
      </w:r>
      <w:r w:rsidRPr="009E6F40">
        <w:rPr>
          <w:lang w:val="fr-FR"/>
        </w:rPr>
        <w:t>indemnité d</w:t>
      </w:r>
      <w:r w:rsidR="009E6F40" w:rsidRPr="009E6F40">
        <w:rPr>
          <w:lang w:val="fr-FR"/>
        </w:rPr>
        <w:t>’</w:t>
      </w:r>
      <w:r w:rsidRPr="009E6F40">
        <w:rPr>
          <w:lang w:val="fr-FR"/>
        </w:rPr>
        <w:t>expropriation ou sur le dédommagement a été acceptée ou est devenue définitive.</w:t>
      </w:r>
    </w:p>
    <w:p w:rsidR="005E7011" w:rsidRPr="009E6F40" w:rsidRDefault="005E7011" w:rsidP="009E6F40">
      <w:pPr>
        <w:pStyle w:val="ECHRTitle1"/>
        <w:rPr>
          <w:lang w:val="fr-FR"/>
        </w:rPr>
      </w:pPr>
      <w:r w:rsidRPr="009E6F40">
        <w:rPr>
          <w:lang w:val="fr-FR"/>
        </w:rPr>
        <w:t>GRIEF</w:t>
      </w:r>
    </w:p>
    <w:p w:rsidR="005E7011" w:rsidRPr="009E6F40" w:rsidRDefault="005E7011" w:rsidP="009E6F40">
      <w:pPr>
        <w:autoSpaceDE w:val="0"/>
        <w:autoSpaceDN w:val="0"/>
        <w:adjustRightInd w:val="0"/>
        <w:ind w:firstLine="284"/>
        <w:rPr>
          <w:color w:val="000000"/>
          <w:szCs w:val="24"/>
          <w:lang w:val="fr-FR" w:eastAsia="en-GB"/>
        </w:rPr>
      </w:pPr>
      <w:r w:rsidRPr="009E6F40">
        <w:rPr>
          <w:color w:val="000000"/>
          <w:szCs w:val="24"/>
          <w:lang w:val="fr-FR" w:eastAsia="en-GB"/>
        </w:rPr>
        <w:t>17.  Invoquant l</w:t>
      </w:r>
      <w:r w:rsidR="009E6F40" w:rsidRPr="009E6F40">
        <w:rPr>
          <w:color w:val="000000"/>
          <w:szCs w:val="24"/>
          <w:lang w:val="fr-FR" w:eastAsia="en-GB"/>
        </w:rPr>
        <w:t>’</w:t>
      </w:r>
      <w:r w:rsidRPr="009E6F40">
        <w:rPr>
          <w:color w:val="000000"/>
          <w:szCs w:val="24"/>
          <w:lang w:val="fr-FR" w:eastAsia="en-GB"/>
        </w:rPr>
        <w:t>article 1 du Protocole n</w:t>
      </w:r>
      <w:r w:rsidRPr="009E6F40">
        <w:rPr>
          <w:color w:val="000000"/>
          <w:szCs w:val="24"/>
          <w:vertAlign w:val="superscript"/>
          <w:lang w:val="fr-FR" w:eastAsia="en-GB"/>
        </w:rPr>
        <w:t>o</w:t>
      </w:r>
      <w:r w:rsidRPr="009E6F40">
        <w:rPr>
          <w:color w:val="000000"/>
          <w:szCs w:val="24"/>
          <w:lang w:val="fr-FR" w:eastAsia="en-GB"/>
        </w:rPr>
        <w:t xml:space="preserve"> 1, la requérante se plaint d</w:t>
      </w:r>
      <w:r w:rsidR="009E6F40" w:rsidRPr="009E6F40">
        <w:rPr>
          <w:color w:val="000000"/>
          <w:szCs w:val="24"/>
          <w:lang w:val="fr-FR" w:eastAsia="en-GB"/>
        </w:rPr>
        <w:t>’</w:t>
      </w:r>
      <w:r w:rsidRPr="009E6F40">
        <w:rPr>
          <w:color w:val="000000"/>
          <w:szCs w:val="24"/>
          <w:lang w:val="fr-FR" w:eastAsia="en-GB"/>
        </w:rPr>
        <w:t>avoir été privée de son terrain de manière incompatible avec son droit au respect de ses biens.</w:t>
      </w:r>
    </w:p>
    <w:p w:rsidR="005E7011" w:rsidRPr="009E6F40" w:rsidRDefault="005E7011" w:rsidP="009E6F40">
      <w:pPr>
        <w:pStyle w:val="ECHRTitle1"/>
        <w:rPr>
          <w:lang w:val="fr-FR"/>
        </w:rPr>
      </w:pPr>
      <w:r w:rsidRPr="009E6F40">
        <w:rPr>
          <w:lang w:val="fr-FR"/>
        </w:rPr>
        <w:t>EN DROIT</w:t>
      </w:r>
    </w:p>
    <w:p w:rsidR="005E7011" w:rsidRPr="009E6F40" w:rsidRDefault="005E7011" w:rsidP="009E6F40">
      <w:pPr>
        <w:pStyle w:val="ECHRPara"/>
        <w:rPr>
          <w:lang w:val="fr-FR"/>
        </w:rPr>
      </w:pPr>
      <w:r w:rsidRPr="009E6F40">
        <w:rPr>
          <w:lang w:val="fr-FR"/>
        </w:rPr>
        <w:t>18.  La requérante allègue qu</w:t>
      </w:r>
      <w:r w:rsidR="009E6F40" w:rsidRPr="009E6F40">
        <w:rPr>
          <w:lang w:val="fr-FR"/>
        </w:rPr>
        <w:t>’</w:t>
      </w:r>
      <w:r w:rsidRPr="009E6F40">
        <w:rPr>
          <w:lang w:val="fr-FR"/>
        </w:rPr>
        <w:t>elle a été privée de son terrain de manière incompatible avec l</w:t>
      </w:r>
      <w:r w:rsidR="009E6F40" w:rsidRPr="009E6F40">
        <w:rPr>
          <w:lang w:val="fr-FR"/>
        </w:rPr>
        <w:t>’</w:t>
      </w:r>
      <w:r w:rsidRPr="009E6F40">
        <w:rPr>
          <w:lang w:val="fr-FR"/>
        </w:rPr>
        <w:t>article 1 du Protocole n</w:t>
      </w:r>
      <w:r w:rsidRPr="009E6F40">
        <w:rPr>
          <w:vertAlign w:val="superscript"/>
          <w:lang w:val="fr-FR"/>
        </w:rPr>
        <w:t>o</w:t>
      </w:r>
      <w:r w:rsidRPr="009E6F40">
        <w:rPr>
          <w:lang w:val="fr-FR"/>
        </w:rPr>
        <w:t>1 de la Convention, ainsi libellé :</w:t>
      </w:r>
    </w:p>
    <w:p w:rsidR="005E7011" w:rsidRPr="009E6F40" w:rsidRDefault="005E7011" w:rsidP="009E6F40">
      <w:pPr>
        <w:pStyle w:val="ECHRParaQuote"/>
        <w:rPr>
          <w:lang w:val="fr-FR"/>
        </w:rPr>
      </w:pPr>
      <w:r w:rsidRPr="009E6F40">
        <w:rPr>
          <w:lang w:val="fr-FR"/>
        </w:rPr>
        <w:t>« Toute personne physique ou morale a droit au respect de ses biens. Nul ne peut être privé de sa propriété que pour cause d</w:t>
      </w:r>
      <w:r w:rsidR="009E6F40" w:rsidRPr="009E6F40">
        <w:rPr>
          <w:lang w:val="fr-FR"/>
        </w:rPr>
        <w:t>’</w:t>
      </w:r>
      <w:r w:rsidRPr="009E6F40">
        <w:rPr>
          <w:lang w:val="fr-FR"/>
        </w:rPr>
        <w:t>utilité publique et dans les conditions prévues par la loi et les principes généraux du droit international.</w:t>
      </w:r>
    </w:p>
    <w:p w:rsidR="005E7011" w:rsidRPr="009E6F40" w:rsidRDefault="005E7011" w:rsidP="009E6F40">
      <w:pPr>
        <w:pStyle w:val="ECHRParaQuote"/>
        <w:rPr>
          <w:lang w:val="fr-FR"/>
        </w:rPr>
      </w:pPr>
      <w:r w:rsidRPr="009E6F40">
        <w:rPr>
          <w:lang w:val="fr-FR"/>
        </w:rPr>
        <w:t>Les dispositions précédentes ne portent pas atteinte au droit que possèdent les États de mettre en vigueur les lois qu</w:t>
      </w:r>
      <w:r w:rsidR="009E6F40" w:rsidRPr="009E6F40">
        <w:rPr>
          <w:lang w:val="fr-FR"/>
        </w:rPr>
        <w:t>’</w:t>
      </w:r>
      <w:r w:rsidRPr="009E6F40">
        <w:rPr>
          <w:lang w:val="fr-FR"/>
        </w:rPr>
        <w:t>ils jugent nécessaires pour réglementer l</w:t>
      </w:r>
      <w:r w:rsidR="009E6F40" w:rsidRPr="009E6F40">
        <w:rPr>
          <w:lang w:val="fr-FR"/>
        </w:rPr>
        <w:t>’</w:t>
      </w:r>
      <w:r w:rsidRPr="009E6F40">
        <w:rPr>
          <w:lang w:val="fr-FR"/>
        </w:rPr>
        <w:t>usage des biens conformément à l</w:t>
      </w:r>
      <w:r w:rsidR="009E6F40" w:rsidRPr="009E6F40">
        <w:rPr>
          <w:lang w:val="fr-FR"/>
        </w:rPr>
        <w:t>’</w:t>
      </w:r>
      <w:r w:rsidRPr="009E6F40">
        <w:rPr>
          <w:lang w:val="fr-FR"/>
        </w:rPr>
        <w:t>intérêt général ou pour assurer le paiement des impôts ou d</w:t>
      </w:r>
      <w:r w:rsidR="009E6F40" w:rsidRPr="009E6F40">
        <w:rPr>
          <w:lang w:val="fr-FR"/>
        </w:rPr>
        <w:t>’</w:t>
      </w:r>
      <w:r w:rsidRPr="009E6F40">
        <w:rPr>
          <w:lang w:val="fr-FR"/>
        </w:rPr>
        <w:t>autres contributions ou des amendes. »</w:t>
      </w:r>
    </w:p>
    <w:p w:rsidR="005E7011" w:rsidRPr="009E6F40" w:rsidRDefault="005E7011" w:rsidP="009E6F40">
      <w:pPr>
        <w:pStyle w:val="ECHRHeading3"/>
        <w:rPr>
          <w:rFonts w:ascii="Times New Roman" w:eastAsiaTheme="minorHAnsi" w:hAnsi="Times New Roman" w:cs="Times New Roman"/>
          <w:iCs/>
          <w:color w:val="000000"/>
          <w:szCs w:val="24"/>
          <w:lang w:val="fr-FR" w:eastAsia="fr-FR"/>
        </w:rPr>
      </w:pPr>
      <w:r w:rsidRPr="009E6F40">
        <w:rPr>
          <w:rFonts w:ascii="Times New Roman" w:eastAsiaTheme="minorHAnsi" w:hAnsi="Times New Roman" w:cs="Times New Roman"/>
          <w:iCs/>
          <w:color w:val="000000"/>
          <w:szCs w:val="24"/>
          <w:lang w:val="fr-FR" w:eastAsia="fr-FR"/>
        </w:rPr>
        <w:lastRenderedPageBreak/>
        <w:t>1.  Arguments des parties</w:t>
      </w:r>
    </w:p>
    <w:p w:rsidR="005E7011" w:rsidRPr="009E6F40" w:rsidRDefault="005E7011" w:rsidP="009E6F40">
      <w:pPr>
        <w:pStyle w:val="ECHRPara"/>
        <w:rPr>
          <w:lang w:val="fr-FR"/>
        </w:rPr>
      </w:pPr>
      <w:r w:rsidRPr="009E6F40">
        <w:rPr>
          <w:lang w:val="fr-FR"/>
        </w:rPr>
        <w:t>19.  Le Gouvernement a excipé le défaut de qualité de « victime » de la requérante, au sens de l</w:t>
      </w:r>
      <w:r w:rsidR="009E6F40" w:rsidRPr="009E6F40">
        <w:rPr>
          <w:lang w:val="fr-FR"/>
        </w:rPr>
        <w:t>’</w:t>
      </w:r>
      <w:r w:rsidRPr="009E6F40">
        <w:rPr>
          <w:lang w:val="fr-FR"/>
        </w:rPr>
        <w:t>article 34 de la Convention, puisqu</w:t>
      </w:r>
      <w:r w:rsidR="009E6F40" w:rsidRPr="009E6F40">
        <w:rPr>
          <w:lang w:val="fr-FR"/>
        </w:rPr>
        <w:t>’</w:t>
      </w:r>
      <w:r w:rsidRPr="009E6F40">
        <w:rPr>
          <w:lang w:val="fr-FR"/>
        </w:rPr>
        <w:t>elle avait obtenu des juridictions internes un dédommagement correspondant à la valeur vénale du terrain exproprié, et que la somme avait été réévaluée et assortie d</w:t>
      </w:r>
      <w:r w:rsidR="009E6F40" w:rsidRPr="009E6F40">
        <w:rPr>
          <w:lang w:val="fr-FR"/>
        </w:rPr>
        <w:t>’</w:t>
      </w:r>
      <w:r w:rsidRPr="009E6F40">
        <w:rPr>
          <w:lang w:val="fr-FR"/>
        </w:rPr>
        <w:t>intérêts.</w:t>
      </w:r>
    </w:p>
    <w:p w:rsidR="005E7011" w:rsidRPr="009E6F40" w:rsidRDefault="005E7011" w:rsidP="009E6F40">
      <w:pPr>
        <w:pStyle w:val="ECHRPara"/>
        <w:rPr>
          <w:lang w:val="fr-FR"/>
        </w:rPr>
      </w:pPr>
      <w:r w:rsidRPr="009E6F40">
        <w:rPr>
          <w:lang w:val="fr-FR"/>
        </w:rPr>
        <w:t>20. La requérante s</w:t>
      </w:r>
      <w:r w:rsidR="009E6F40" w:rsidRPr="009E6F40">
        <w:rPr>
          <w:lang w:val="fr-FR"/>
        </w:rPr>
        <w:t>’</w:t>
      </w:r>
      <w:r w:rsidRPr="009E6F40">
        <w:rPr>
          <w:lang w:val="fr-FR"/>
        </w:rPr>
        <w:t>oppose à cette thèse.</w:t>
      </w:r>
    </w:p>
    <w:p w:rsidR="005E7011" w:rsidRPr="009E6F40" w:rsidRDefault="005E7011" w:rsidP="009E6F40">
      <w:pPr>
        <w:pStyle w:val="ECHRHeading3"/>
        <w:rPr>
          <w:rFonts w:eastAsiaTheme="minorHAnsi"/>
          <w:lang w:val="fr-FR" w:eastAsia="fr-FR"/>
        </w:rPr>
      </w:pPr>
      <w:r w:rsidRPr="009E6F40">
        <w:rPr>
          <w:rFonts w:eastAsiaTheme="minorHAnsi"/>
          <w:lang w:val="fr-FR" w:eastAsia="fr-FR"/>
        </w:rPr>
        <w:t>2.  Appréciation de la Cour</w:t>
      </w:r>
    </w:p>
    <w:p w:rsidR="005E7011" w:rsidRPr="009E6F40" w:rsidRDefault="005E7011" w:rsidP="009E6F40">
      <w:pPr>
        <w:pStyle w:val="ECHRPara"/>
        <w:rPr>
          <w:lang w:val="fr-FR"/>
        </w:rPr>
      </w:pPr>
      <w:r w:rsidRPr="009E6F40">
        <w:rPr>
          <w:lang w:val="fr-FR"/>
        </w:rPr>
        <w:t>21.  La Cour rappelle avoir déjà examiné ce type d</w:t>
      </w:r>
      <w:r w:rsidR="009E6F40" w:rsidRPr="009E6F40">
        <w:rPr>
          <w:lang w:val="fr-FR"/>
        </w:rPr>
        <w:t>’</w:t>
      </w:r>
      <w:r w:rsidRPr="009E6F40">
        <w:rPr>
          <w:lang w:val="fr-FR"/>
        </w:rPr>
        <w:t>exception dans d</w:t>
      </w:r>
      <w:r w:rsidR="009E6F40" w:rsidRPr="009E6F40">
        <w:rPr>
          <w:lang w:val="fr-FR"/>
        </w:rPr>
        <w:t>’</w:t>
      </w:r>
      <w:r w:rsidRPr="009E6F40">
        <w:rPr>
          <w:lang w:val="fr-FR"/>
        </w:rPr>
        <w:t>autres affaires concernant des expropriations indirectes. Dans ces affaires, elle avait conclu que le simple fait que la requérante ait reçu une indemnisation correspondant à la valeur vénale du terrain exproprié ne suffit pas en soi à lui retirer la qualité de « victime », bien que cela puisse jouer un rôle sur le terrain de l</w:t>
      </w:r>
      <w:r w:rsidR="009E6F40" w:rsidRPr="009E6F40">
        <w:rPr>
          <w:lang w:val="fr-FR"/>
        </w:rPr>
        <w:t>’</w:t>
      </w:r>
      <w:r w:rsidRPr="009E6F40">
        <w:rPr>
          <w:lang w:val="fr-FR"/>
        </w:rPr>
        <w:t>article 41 (</w:t>
      </w:r>
      <w:r w:rsidRPr="009E6F40">
        <w:rPr>
          <w:i/>
          <w:lang w:val="fr-FR"/>
        </w:rPr>
        <w:t>De Angelis et autres c. Italie</w:t>
      </w:r>
      <w:r w:rsidRPr="009E6F40">
        <w:rPr>
          <w:lang w:val="fr-FR"/>
        </w:rPr>
        <w:t xml:space="preserve">, n  68852/01, § 57, 21 décembre 2006 ; </w:t>
      </w:r>
      <w:r w:rsidRPr="009E6F40">
        <w:rPr>
          <w:i/>
          <w:lang w:val="fr-FR"/>
        </w:rPr>
        <w:t>Carbonara et Ventura c. Italie</w:t>
      </w:r>
      <w:r w:rsidRPr="009E6F40">
        <w:rPr>
          <w:lang w:val="fr-FR"/>
        </w:rPr>
        <w:t>, n  24638/94, § 62, CEDH 2000</w:t>
      </w:r>
      <w:r w:rsidRPr="009E6F40">
        <w:rPr>
          <w:lang w:val="fr-FR"/>
        </w:rPr>
        <w:noBreakHyphen/>
        <w:t xml:space="preserve">VI ; </w:t>
      </w:r>
      <w:r w:rsidRPr="009E6F40">
        <w:rPr>
          <w:i/>
          <w:lang w:val="fr-FR"/>
        </w:rPr>
        <w:t>De Sciscio c. Italie</w:t>
      </w:r>
      <w:r w:rsidRPr="009E6F40">
        <w:rPr>
          <w:lang w:val="fr-FR"/>
        </w:rPr>
        <w:t>, n  176/04, § 53, 20 avril 2006). Elle rappelle à cet égard qu</w:t>
      </w:r>
      <w:r w:rsidR="009E6F40" w:rsidRPr="009E6F40">
        <w:rPr>
          <w:lang w:val="fr-FR"/>
        </w:rPr>
        <w:t>’</w:t>
      </w:r>
      <w:r w:rsidRPr="009E6F40">
        <w:rPr>
          <w:lang w:val="fr-FR"/>
        </w:rPr>
        <w:t xml:space="preserve">une décision ou une mesure favorable au requérant ne suffit en principe à retirer la qualité de «victime » que si les autorités nationales ont reconnu, explicitement ou en substance, puis réparé la violation de la Convention </w:t>
      </w:r>
      <w:r w:rsidRPr="009E6F40">
        <w:rPr>
          <w:snapToGrid w:val="0"/>
          <w:lang w:val="fr-FR"/>
        </w:rPr>
        <w:t>(</w:t>
      </w:r>
      <w:r w:rsidRPr="009E6F40">
        <w:rPr>
          <w:i/>
          <w:lang w:val="fr-FR"/>
        </w:rPr>
        <w:t>Guerrera et Fusco c. Italie</w:t>
      </w:r>
      <w:r w:rsidRPr="009E6F40">
        <w:rPr>
          <w:lang w:val="fr-FR"/>
        </w:rPr>
        <w:t>, n</w:t>
      </w:r>
      <w:r w:rsidRPr="009E6F40">
        <w:rPr>
          <w:vertAlign w:val="superscript"/>
          <w:lang w:val="fr-FR"/>
        </w:rPr>
        <w:t>o</w:t>
      </w:r>
      <w:r w:rsidRPr="009E6F40">
        <w:rPr>
          <w:lang w:val="fr-FR"/>
        </w:rPr>
        <w:t xml:space="preserve"> 40601/98, § 53, 3 avril 2003 ; </w:t>
      </w:r>
      <w:r w:rsidRPr="009E6F40">
        <w:rPr>
          <w:i/>
          <w:lang w:val="fr-FR"/>
        </w:rPr>
        <w:t>Amuur c. France</w:t>
      </w:r>
      <w:r w:rsidRPr="009E6F40">
        <w:rPr>
          <w:lang w:val="fr-FR"/>
        </w:rPr>
        <w:t xml:space="preserve"> du 25 juin 1996, Recueil 1996-III, p. 846, § 36).</w:t>
      </w:r>
    </w:p>
    <w:p w:rsidR="005E7011" w:rsidRPr="009E6F40" w:rsidRDefault="005E7011" w:rsidP="009E6F40">
      <w:pPr>
        <w:pStyle w:val="ECHRPara"/>
        <w:rPr>
          <w:b/>
          <w:lang w:val="fr-FR"/>
        </w:rPr>
      </w:pPr>
      <w:r w:rsidRPr="009E6F40">
        <w:rPr>
          <w:lang w:val="fr-FR"/>
        </w:rPr>
        <w:t xml:space="preserve">22.  La Cour </w:t>
      </w:r>
      <w:r w:rsidRPr="009E6F40">
        <w:rPr>
          <w:rStyle w:val="sb8d990e2"/>
          <w:lang w:val="fr-FR"/>
        </w:rPr>
        <w:t>rappelle qu</w:t>
      </w:r>
      <w:r w:rsidR="009E6F40" w:rsidRPr="009E6F40">
        <w:rPr>
          <w:rStyle w:val="sb8d990e2"/>
          <w:lang w:val="fr-FR"/>
        </w:rPr>
        <w:t>’</w:t>
      </w:r>
      <w:r w:rsidRPr="009E6F40">
        <w:rPr>
          <w:rStyle w:val="sb8d990e2"/>
          <w:lang w:val="fr-FR"/>
        </w:rPr>
        <w:t xml:space="preserve">il appartient en premier lieu aux autorités nationales de redresser une violation alléguée de la Convention. À cet égard, la question de savoir si </w:t>
      </w:r>
      <w:r w:rsidRPr="009E6F40">
        <w:rPr>
          <w:lang w:val="fr-FR"/>
        </w:rPr>
        <w:t>un</w:t>
      </w:r>
      <w:r w:rsidRPr="009E6F40">
        <w:rPr>
          <w:rStyle w:val="sb8d990e2"/>
          <w:lang w:val="fr-FR"/>
        </w:rPr>
        <w:t xml:space="preserve"> requérant peut se prétendre victime du manquement allégué se pose à tous les stades de la procédure au regard de la Convention et implique essentiellement pour la Cour de se livrer à un examen </w:t>
      </w:r>
      <w:r w:rsidRPr="009E6F40">
        <w:rPr>
          <w:rStyle w:val="s6b621b36"/>
          <w:i/>
          <w:lang w:val="fr-FR"/>
        </w:rPr>
        <w:t>ex post facto</w:t>
      </w:r>
      <w:r w:rsidRPr="009E6F40">
        <w:rPr>
          <w:rStyle w:val="s6b621b36"/>
          <w:lang w:val="fr-FR"/>
        </w:rPr>
        <w:t xml:space="preserve"> </w:t>
      </w:r>
      <w:r w:rsidRPr="009E6F40">
        <w:rPr>
          <w:rStyle w:val="sb8d990e2"/>
          <w:lang w:val="fr-FR"/>
        </w:rPr>
        <w:t>de la situation de la personne concernée (</w:t>
      </w:r>
      <w:r w:rsidRPr="009E6F40">
        <w:rPr>
          <w:i/>
          <w:szCs w:val="24"/>
          <w:lang w:val="fr-FR"/>
        </w:rPr>
        <w:t xml:space="preserve">Cocchiarella c. </w:t>
      </w:r>
      <w:r w:rsidRPr="009E6F40">
        <w:rPr>
          <w:i/>
          <w:spacing w:val="-2"/>
          <w:szCs w:val="24"/>
          <w:lang w:val="fr-FR"/>
        </w:rPr>
        <w:t>Italie</w:t>
      </w:r>
      <w:r w:rsidRPr="009E6F40">
        <w:rPr>
          <w:szCs w:val="24"/>
          <w:lang w:val="fr-FR"/>
        </w:rPr>
        <w:t xml:space="preserve"> [GC], n</w:t>
      </w:r>
      <w:r w:rsidRPr="009E6F40">
        <w:rPr>
          <w:szCs w:val="24"/>
          <w:vertAlign w:val="superscript"/>
          <w:lang w:val="fr-FR"/>
        </w:rPr>
        <w:t>o</w:t>
      </w:r>
      <w:r w:rsidRPr="009E6F40">
        <w:rPr>
          <w:szCs w:val="24"/>
          <w:lang w:val="fr-FR"/>
        </w:rPr>
        <w:t xml:space="preserve"> 64886/01</w:t>
      </w:r>
      <w:r w:rsidRPr="009E6F40">
        <w:rPr>
          <w:rStyle w:val="s6b621b36"/>
          <w:lang w:val="fr-FR"/>
        </w:rPr>
        <w:t>, §§ 70-72,</w:t>
      </w:r>
      <w:r w:rsidRPr="009E6F40">
        <w:rPr>
          <w:szCs w:val="24"/>
          <w:lang w:val="fr-FR"/>
        </w:rPr>
        <w:t xml:space="preserve"> CEDH 2006</w:t>
      </w:r>
      <w:r w:rsidRPr="009E6F40">
        <w:rPr>
          <w:szCs w:val="24"/>
          <w:lang w:val="fr-FR"/>
        </w:rPr>
        <w:noBreakHyphen/>
        <w:t>V</w:t>
      </w:r>
      <w:r w:rsidRPr="009E6F40">
        <w:rPr>
          <w:rStyle w:val="sb8d990e2"/>
          <w:lang w:val="fr-FR"/>
        </w:rPr>
        <w:t>).</w:t>
      </w:r>
    </w:p>
    <w:p w:rsidR="005E7011" w:rsidRPr="009E6F40" w:rsidRDefault="005E7011" w:rsidP="009E6F40">
      <w:pPr>
        <w:pStyle w:val="ECHRPara"/>
        <w:rPr>
          <w:szCs w:val="24"/>
          <w:lang w:val="fr-FR"/>
        </w:rPr>
      </w:pPr>
      <w:r w:rsidRPr="009E6F40">
        <w:rPr>
          <w:lang w:val="fr-FR"/>
        </w:rPr>
        <w:t>23.  La Cour réaffirme qu</w:t>
      </w:r>
      <w:r w:rsidR="009E6F40" w:rsidRPr="009E6F40">
        <w:rPr>
          <w:lang w:val="fr-FR"/>
        </w:rPr>
        <w:t>’</w:t>
      </w:r>
      <w:r w:rsidRPr="009E6F40">
        <w:rPr>
          <w:lang w:val="fr-FR"/>
        </w:rPr>
        <w:t>il lui appartient tout d</w:t>
      </w:r>
      <w:r w:rsidR="009E6F40" w:rsidRPr="009E6F40">
        <w:rPr>
          <w:lang w:val="fr-FR"/>
        </w:rPr>
        <w:t>’</w:t>
      </w:r>
      <w:r w:rsidRPr="009E6F40">
        <w:rPr>
          <w:lang w:val="fr-FR"/>
        </w:rPr>
        <w:t>abord de vérifier s</w:t>
      </w:r>
      <w:r w:rsidR="009E6F40" w:rsidRPr="009E6F40">
        <w:rPr>
          <w:lang w:val="fr-FR"/>
        </w:rPr>
        <w:t>’</w:t>
      </w:r>
      <w:r w:rsidRPr="009E6F40">
        <w:rPr>
          <w:lang w:val="fr-FR"/>
        </w:rPr>
        <w:t>il y a eu reconnaissance par les autorités, au moins en substance, d</w:t>
      </w:r>
      <w:r w:rsidR="009E6F40" w:rsidRPr="009E6F40">
        <w:rPr>
          <w:lang w:val="fr-FR"/>
        </w:rPr>
        <w:t>’</w:t>
      </w:r>
      <w:r w:rsidRPr="009E6F40">
        <w:rPr>
          <w:lang w:val="fr-FR"/>
        </w:rPr>
        <w:t>une violation d</w:t>
      </w:r>
      <w:r w:rsidR="009E6F40" w:rsidRPr="009E6F40">
        <w:rPr>
          <w:lang w:val="fr-FR"/>
        </w:rPr>
        <w:t>’</w:t>
      </w:r>
      <w:r w:rsidRPr="009E6F40">
        <w:rPr>
          <w:lang w:val="fr-FR"/>
        </w:rPr>
        <w:t>un droit protégé par la Convention (</w:t>
      </w:r>
      <w:r w:rsidRPr="009E6F40">
        <w:rPr>
          <w:i/>
          <w:szCs w:val="24"/>
          <w:lang w:val="fr-FR"/>
        </w:rPr>
        <w:t xml:space="preserve">Cocchiarella c. </w:t>
      </w:r>
      <w:r w:rsidRPr="009E6F40">
        <w:rPr>
          <w:i/>
          <w:spacing w:val="-2"/>
          <w:szCs w:val="24"/>
          <w:lang w:val="fr-FR"/>
        </w:rPr>
        <w:t>Italie</w:t>
      </w:r>
      <w:r w:rsidRPr="009E6F40">
        <w:rPr>
          <w:szCs w:val="24"/>
          <w:lang w:val="fr-FR"/>
        </w:rPr>
        <w:t xml:space="preserve"> précité, § 84).</w:t>
      </w:r>
    </w:p>
    <w:p w:rsidR="005E7011" w:rsidRPr="009E6F40" w:rsidRDefault="005E7011" w:rsidP="009E6F40">
      <w:pPr>
        <w:pStyle w:val="ECHRPara"/>
        <w:rPr>
          <w:lang w:val="fr-FR"/>
        </w:rPr>
      </w:pPr>
      <w:r w:rsidRPr="009E6F40">
        <w:rPr>
          <w:lang w:val="fr-FR"/>
        </w:rPr>
        <w:t>24.  Tout d</w:t>
      </w:r>
      <w:r w:rsidR="009E6F40" w:rsidRPr="009E6F40">
        <w:rPr>
          <w:lang w:val="fr-FR"/>
        </w:rPr>
        <w:t>’</w:t>
      </w:r>
      <w:r w:rsidRPr="009E6F40">
        <w:rPr>
          <w:lang w:val="fr-FR"/>
        </w:rPr>
        <w:t>abord, la Cour rappelle que</w:t>
      </w:r>
      <w:r w:rsidRPr="009E6F40">
        <w:rPr>
          <w:b/>
          <w:lang w:val="fr-FR"/>
        </w:rPr>
        <w:t xml:space="preserve"> </w:t>
      </w:r>
      <w:r w:rsidRPr="009E6F40">
        <w:rPr>
          <w:lang w:val="fr-FR"/>
        </w:rPr>
        <w:t>le tribunal de Bénévent a estimé que l</w:t>
      </w:r>
      <w:r w:rsidR="009E6F40" w:rsidRPr="009E6F40">
        <w:rPr>
          <w:lang w:val="fr-FR"/>
        </w:rPr>
        <w:t>’</w:t>
      </w:r>
      <w:r w:rsidRPr="009E6F40">
        <w:rPr>
          <w:lang w:val="fr-FR"/>
        </w:rPr>
        <w:t>expropriation indirecte du terrain de la requérante était contraire à l</w:t>
      </w:r>
      <w:r w:rsidR="009E6F40" w:rsidRPr="009E6F40">
        <w:rPr>
          <w:lang w:val="fr-FR"/>
        </w:rPr>
        <w:t>’</w:t>
      </w:r>
      <w:r w:rsidRPr="009E6F40">
        <w:rPr>
          <w:lang w:val="fr-FR"/>
        </w:rPr>
        <w:t>article 1 du Protocole n</w:t>
      </w:r>
      <w:r w:rsidRPr="009E6F40">
        <w:rPr>
          <w:vertAlign w:val="superscript"/>
          <w:lang w:val="fr-FR"/>
        </w:rPr>
        <w:t>o</w:t>
      </w:r>
      <w:r w:rsidRPr="009E6F40">
        <w:rPr>
          <w:lang w:val="fr-FR"/>
        </w:rPr>
        <w:t xml:space="preserve"> 1 de la Convention, tel qu</w:t>
      </w:r>
      <w:r w:rsidR="009E6F40" w:rsidRPr="009E6F40">
        <w:rPr>
          <w:lang w:val="fr-FR"/>
        </w:rPr>
        <w:t>’</w:t>
      </w:r>
      <w:r w:rsidRPr="009E6F40">
        <w:rPr>
          <w:lang w:val="fr-FR"/>
        </w:rPr>
        <w:t>interprété par la jurisprudence de la Cour, et entraînait une violation du droit de propriété de la requérante et une obligation pour l</w:t>
      </w:r>
      <w:r w:rsidR="009E6F40" w:rsidRPr="009E6F40">
        <w:rPr>
          <w:lang w:val="fr-FR"/>
        </w:rPr>
        <w:t>’</w:t>
      </w:r>
      <w:r w:rsidRPr="009E6F40">
        <w:rPr>
          <w:lang w:val="fr-FR"/>
        </w:rPr>
        <w:t>administration de réparer la violation. Le tribunal condamna dès lors l</w:t>
      </w:r>
      <w:r w:rsidR="009E6F40" w:rsidRPr="009E6F40">
        <w:rPr>
          <w:lang w:val="fr-FR"/>
        </w:rPr>
        <w:t>’</w:t>
      </w:r>
      <w:r w:rsidRPr="009E6F40">
        <w:rPr>
          <w:lang w:val="fr-FR"/>
        </w:rPr>
        <w:t xml:space="preserve">administration </w:t>
      </w:r>
      <w:r w:rsidRPr="009E6F40">
        <w:rPr>
          <w:snapToGrid w:val="0"/>
          <w:lang w:val="fr-FR"/>
        </w:rPr>
        <w:t xml:space="preserve">à </w:t>
      </w:r>
      <w:r w:rsidRPr="009E6F40">
        <w:rPr>
          <w:lang w:val="fr-FR"/>
        </w:rPr>
        <w:t xml:space="preserve">verser à la requérante une indemnisation correspondant à la valeur vénale du terrain, plus réévaluation et intérêts à partir de la date </w:t>
      </w:r>
      <w:r w:rsidRPr="009E6F40">
        <w:rPr>
          <w:lang w:val="fr-FR" w:eastAsia="en-GB"/>
        </w:rPr>
        <w:t>de la perte de la propriété</w:t>
      </w:r>
      <w:r w:rsidRPr="009E6F40">
        <w:rPr>
          <w:lang w:val="fr-FR"/>
        </w:rPr>
        <w:t>.</w:t>
      </w:r>
    </w:p>
    <w:p w:rsidR="005E7011" w:rsidRPr="009E6F40" w:rsidRDefault="005E7011" w:rsidP="009E6F40">
      <w:pPr>
        <w:pStyle w:val="ECHRPara"/>
        <w:rPr>
          <w:lang w:val="fr-FR"/>
        </w:rPr>
      </w:pPr>
      <w:r w:rsidRPr="009E6F40">
        <w:rPr>
          <w:szCs w:val="24"/>
          <w:lang w:val="fr-FR"/>
        </w:rPr>
        <w:t>25.  </w:t>
      </w:r>
      <w:r w:rsidRPr="009E6F40">
        <w:rPr>
          <w:lang w:val="fr-FR"/>
        </w:rPr>
        <w:t>Elle relève ensuite que la cour d</w:t>
      </w:r>
      <w:r w:rsidR="009E6F40" w:rsidRPr="009E6F40">
        <w:rPr>
          <w:lang w:val="fr-FR"/>
        </w:rPr>
        <w:t>’</w:t>
      </w:r>
      <w:r w:rsidRPr="009E6F40">
        <w:rPr>
          <w:lang w:val="fr-FR"/>
        </w:rPr>
        <w:t>appel de Naples a confirmé le jugement du tribunal de Bénévent en soulignant que, par ses arrêts n</w:t>
      </w:r>
      <w:r w:rsidRPr="009E6F40">
        <w:rPr>
          <w:vertAlign w:val="superscript"/>
          <w:lang w:val="fr-FR"/>
        </w:rPr>
        <w:t>os</w:t>
      </w:r>
      <w:r w:rsidRPr="009E6F40">
        <w:rPr>
          <w:lang w:val="fr-FR"/>
        </w:rPr>
        <w:t xml:space="preserve"> 348 et </w:t>
      </w:r>
      <w:r w:rsidRPr="009E6F40">
        <w:rPr>
          <w:lang w:val="fr-FR"/>
        </w:rPr>
        <w:lastRenderedPageBreak/>
        <w:t>349, la Cour constitutionnelle italienne a déclaré l</w:t>
      </w:r>
      <w:r w:rsidR="009E6F40" w:rsidRPr="009E6F40">
        <w:rPr>
          <w:lang w:val="fr-FR"/>
        </w:rPr>
        <w:t>’</w:t>
      </w:r>
      <w:r w:rsidRPr="009E6F40">
        <w:rPr>
          <w:lang w:val="fr-FR" w:eastAsia="en-GB"/>
        </w:rPr>
        <w:t xml:space="preserve">inconstitutionnalité </w:t>
      </w:r>
      <w:r w:rsidRPr="009E6F40">
        <w:rPr>
          <w:lang w:val="fr-FR"/>
        </w:rPr>
        <w:t xml:space="preserve">de </w:t>
      </w:r>
      <w:r w:rsidRPr="009E6F40">
        <w:rPr>
          <w:lang w:val="fr-FR" w:eastAsia="en-GB"/>
        </w:rPr>
        <w:t>l</w:t>
      </w:r>
      <w:r w:rsidR="009E6F40" w:rsidRPr="009E6F40">
        <w:rPr>
          <w:lang w:val="fr-FR" w:eastAsia="en-GB"/>
        </w:rPr>
        <w:t>’</w:t>
      </w:r>
      <w:r w:rsidRPr="009E6F40">
        <w:rPr>
          <w:lang w:val="fr-FR" w:eastAsia="en-GB"/>
        </w:rPr>
        <w:t xml:space="preserve">article 5 </w:t>
      </w:r>
      <w:r w:rsidRPr="009E6F40">
        <w:rPr>
          <w:i/>
          <w:lang w:val="fr-FR" w:eastAsia="en-GB"/>
        </w:rPr>
        <w:t>bis</w:t>
      </w:r>
      <w:r w:rsidRPr="009E6F40">
        <w:rPr>
          <w:lang w:val="fr-FR" w:eastAsia="en-GB"/>
        </w:rPr>
        <w:t xml:space="preserve"> du décret-loi n</w:t>
      </w:r>
      <w:r w:rsidRPr="009E6F40">
        <w:rPr>
          <w:vertAlign w:val="superscript"/>
          <w:lang w:val="fr-FR" w:eastAsia="en-GB"/>
        </w:rPr>
        <w:t>o</w:t>
      </w:r>
      <w:r w:rsidRPr="009E6F40">
        <w:rPr>
          <w:lang w:val="fr-FR" w:eastAsia="en-GB"/>
        </w:rPr>
        <w:t> 333 du 11 juillet 1992, tel que modifié par la loi n</w:t>
      </w:r>
      <w:r w:rsidRPr="009E6F40">
        <w:rPr>
          <w:vertAlign w:val="superscript"/>
          <w:lang w:val="fr-FR" w:eastAsia="en-GB"/>
        </w:rPr>
        <w:t>o</w:t>
      </w:r>
      <w:r w:rsidRPr="009E6F40">
        <w:rPr>
          <w:lang w:val="fr-FR" w:eastAsia="en-GB"/>
        </w:rPr>
        <w:t xml:space="preserve"> 662 de 1996,</w:t>
      </w:r>
      <w:r w:rsidRPr="009E6F40">
        <w:rPr>
          <w:lang w:val="fr-FR"/>
        </w:rPr>
        <w:t xml:space="preserve"> puisque contraire à l</w:t>
      </w:r>
      <w:r w:rsidR="009E6F40" w:rsidRPr="009E6F40">
        <w:rPr>
          <w:lang w:val="fr-FR"/>
        </w:rPr>
        <w:t>’</w:t>
      </w:r>
      <w:r w:rsidRPr="009E6F40">
        <w:rPr>
          <w:lang w:val="fr-FR"/>
        </w:rPr>
        <w:t>article 1 du Protocole n</w:t>
      </w:r>
      <w:r w:rsidRPr="009E6F40">
        <w:rPr>
          <w:vertAlign w:val="superscript"/>
          <w:lang w:val="fr-FR"/>
        </w:rPr>
        <w:t>o</w:t>
      </w:r>
      <w:r w:rsidRPr="009E6F40">
        <w:rPr>
          <w:lang w:val="fr-FR"/>
        </w:rPr>
        <w:t xml:space="preserve"> 1 de la Convention tel qu</w:t>
      </w:r>
      <w:r w:rsidR="009E6F40" w:rsidRPr="009E6F40">
        <w:rPr>
          <w:lang w:val="fr-FR"/>
        </w:rPr>
        <w:t>’</w:t>
      </w:r>
      <w:r w:rsidRPr="009E6F40">
        <w:rPr>
          <w:lang w:val="fr-FR"/>
        </w:rPr>
        <w:t>interprété par la jurisprudence de la Cour.</w:t>
      </w:r>
    </w:p>
    <w:p w:rsidR="005E7011" w:rsidRPr="009E6F40" w:rsidRDefault="005E7011" w:rsidP="009E6F40">
      <w:pPr>
        <w:pStyle w:val="ECHRPara"/>
        <w:rPr>
          <w:lang w:val="fr-FR"/>
        </w:rPr>
      </w:pPr>
      <w:r w:rsidRPr="009E6F40">
        <w:rPr>
          <w:lang w:val="fr-FR"/>
        </w:rPr>
        <w:t>26.  La Cour estime que les juridictions internes ont</w:t>
      </w:r>
      <w:r w:rsidRPr="009E6F40">
        <w:rPr>
          <w:rStyle w:val="sb8d990e2"/>
          <w:lang w:val="fr-FR"/>
        </w:rPr>
        <w:t xml:space="preserve"> explicitement constaté la violation du droit de propriété de la requérante</w:t>
      </w:r>
      <w:r w:rsidRPr="009E6F40">
        <w:rPr>
          <w:lang w:val="fr-FR"/>
        </w:rPr>
        <w:t>. En outre, elle considère que le redressement reconnu par le tribunal de Bénévent et confirmé par la cour d</w:t>
      </w:r>
      <w:r w:rsidR="009E6F40" w:rsidRPr="009E6F40">
        <w:rPr>
          <w:lang w:val="fr-FR"/>
        </w:rPr>
        <w:t>’</w:t>
      </w:r>
      <w:r w:rsidRPr="009E6F40">
        <w:rPr>
          <w:lang w:val="fr-FR"/>
        </w:rPr>
        <w:t>appel de Naples, conforme aux critères de calcul établis par la Cour dans l</w:t>
      </w:r>
      <w:r w:rsidR="009E6F40" w:rsidRPr="009E6F40">
        <w:rPr>
          <w:lang w:val="fr-FR"/>
        </w:rPr>
        <w:t>’</w:t>
      </w:r>
      <w:r w:rsidRPr="009E6F40">
        <w:rPr>
          <w:lang w:val="fr-FR"/>
        </w:rPr>
        <w:t xml:space="preserve">arrêt </w:t>
      </w:r>
      <w:r w:rsidRPr="009E6F40">
        <w:rPr>
          <w:i/>
          <w:lang w:val="fr-FR"/>
        </w:rPr>
        <w:t>Guiso Gallisay</w:t>
      </w:r>
      <w:r w:rsidRPr="009E6F40">
        <w:rPr>
          <w:lang w:val="fr-FR"/>
        </w:rPr>
        <w:t xml:space="preserve"> (précité, § 105), constitue un redressement approprié et suffisant.</w:t>
      </w:r>
    </w:p>
    <w:p w:rsidR="005E7011" w:rsidRPr="009E6F40" w:rsidRDefault="005E7011" w:rsidP="009E6F40">
      <w:pPr>
        <w:pStyle w:val="ECHRPara"/>
        <w:rPr>
          <w:lang w:val="fr-FR"/>
        </w:rPr>
      </w:pPr>
      <w:r w:rsidRPr="009E6F40">
        <w:rPr>
          <w:lang w:val="fr-FR"/>
        </w:rPr>
        <w:t>27.  A la lumière de ces considérations, la requérante ne peut se prétendre victime de la violation alléguée au sens de l</w:t>
      </w:r>
      <w:r w:rsidR="009E6F40" w:rsidRPr="009E6F40">
        <w:rPr>
          <w:lang w:val="fr-FR"/>
        </w:rPr>
        <w:t>’</w:t>
      </w:r>
      <w:r w:rsidRPr="009E6F40">
        <w:rPr>
          <w:lang w:val="fr-FR"/>
        </w:rPr>
        <w:t xml:space="preserve">article 34 de la Convention (voir </w:t>
      </w:r>
      <w:r w:rsidRPr="009E6F40">
        <w:rPr>
          <w:i/>
          <w:lang w:val="fr-FR"/>
        </w:rPr>
        <w:t>Armando Iannelli c. Italie</w:t>
      </w:r>
      <w:r w:rsidRPr="009E6F40">
        <w:rPr>
          <w:lang w:val="fr-FR"/>
        </w:rPr>
        <w:t>, n</w:t>
      </w:r>
      <w:r w:rsidRPr="009E6F40">
        <w:rPr>
          <w:vertAlign w:val="superscript"/>
          <w:lang w:val="fr-FR"/>
        </w:rPr>
        <w:t>o</w:t>
      </w:r>
      <w:r w:rsidRPr="009E6F40">
        <w:rPr>
          <w:lang w:val="fr-FR"/>
        </w:rPr>
        <w:t xml:space="preserve"> 24818/03</w:t>
      </w:r>
      <w:r w:rsidRPr="009E6F40">
        <w:rPr>
          <w:snapToGrid w:val="0"/>
          <w:lang w:val="fr-FR"/>
        </w:rPr>
        <w:t xml:space="preserve">, 12 </w:t>
      </w:r>
      <w:r w:rsidRPr="009E6F40">
        <w:rPr>
          <w:lang w:val="fr-FR"/>
        </w:rPr>
        <w:t>février</w:t>
      </w:r>
      <w:r w:rsidRPr="009E6F40">
        <w:rPr>
          <w:snapToGrid w:val="0"/>
          <w:lang w:val="fr-FR"/>
        </w:rPr>
        <w:t xml:space="preserve"> 2013 ; </w:t>
      </w:r>
      <w:r w:rsidRPr="009E6F40">
        <w:rPr>
          <w:i/>
          <w:lang w:val="fr-FR"/>
        </w:rPr>
        <w:t>Holzinger c. Autriche</w:t>
      </w:r>
      <w:r w:rsidRPr="009E6F40">
        <w:rPr>
          <w:lang w:val="fr-FR"/>
        </w:rPr>
        <w:t xml:space="preserve"> (n</w:t>
      </w:r>
      <w:r w:rsidRPr="009E6F40">
        <w:rPr>
          <w:vertAlign w:val="superscript"/>
          <w:lang w:val="fr-FR"/>
        </w:rPr>
        <w:t>o</w:t>
      </w:r>
      <w:r w:rsidRPr="009E6F40">
        <w:rPr>
          <w:lang w:val="fr-FR"/>
        </w:rPr>
        <w:t> 1), n</w:t>
      </w:r>
      <w:r w:rsidRPr="009E6F40">
        <w:rPr>
          <w:vertAlign w:val="superscript"/>
          <w:lang w:val="fr-FR"/>
        </w:rPr>
        <w:t>o</w:t>
      </w:r>
      <w:r w:rsidRPr="009E6F40">
        <w:rPr>
          <w:lang w:val="fr-FR"/>
        </w:rPr>
        <w:t xml:space="preserve"> 23459/94, § 21, CEDH 2001</w:t>
      </w:r>
      <w:r w:rsidRPr="009E6F40">
        <w:rPr>
          <w:lang w:val="fr-FR"/>
        </w:rPr>
        <w:noBreakHyphen/>
        <w:t>I).</w:t>
      </w:r>
    </w:p>
    <w:p w:rsidR="005E7011" w:rsidRPr="009E6F40" w:rsidRDefault="005E7011" w:rsidP="009E6F40">
      <w:pPr>
        <w:pStyle w:val="ECHRPara"/>
        <w:rPr>
          <w:rStyle w:val="sb8d990e2"/>
          <w:lang w:val="fr-FR"/>
        </w:rPr>
      </w:pPr>
      <w:r w:rsidRPr="009E6F40">
        <w:rPr>
          <w:rStyle w:val="sb8d990e2"/>
          <w:lang w:val="fr-FR"/>
        </w:rPr>
        <w:t xml:space="preserve">28.  Par conséquent, ce grief est incompatible </w:t>
      </w:r>
      <w:r w:rsidRPr="009E6F40">
        <w:rPr>
          <w:rStyle w:val="s6b621b36"/>
          <w:i/>
          <w:lang w:val="fr-FR"/>
        </w:rPr>
        <w:t>ratione personae</w:t>
      </w:r>
      <w:r w:rsidRPr="009E6F40">
        <w:rPr>
          <w:rStyle w:val="s6b621b36"/>
          <w:lang w:val="fr-FR"/>
        </w:rPr>
        <w:t xml:space="preserve"> </w:t>
      </w:r>
      <w:r w:rsidRPr="009E6F40">
        <w:rPr>
          <w:rStyle w:val="sb8d990e2"/>
          <w:lang w:val="fr-FR"/>
        </w:rPr>
        <w:t>avec les dispositions de la Convention au sens de l</w:t>
      </w:r>
      <w:r w:rsidR="009E6F40" w:rsidRPr="009E6F40">
        <w:rPr>
          <w:rStyle w:val="sb8d990e2"/>
          <w:lang w:val="fr-FR"/>
        </w:rPr>
        <w:t>’</w:t>
      </w:r>
      <w:r w:rsidRPr="009E6F40">
        <w:rPr>
          <w:rStyle w:val="sb8d990e2"/>
          <w:lang w:val="fr-FR"/>
        </w:rPr>
        <w:t>article 35 § 3 et doit être rejetée en vertu de l</w:t>
      </w:r>
      <w:r w:rsidR="009E6F40" w:rsidRPr="009E6F40">
        <w:rPr>
          <w:rStyle w:val="sb8d990e2"/>
          <w:lang w:val="fr-FR"/>
        </w:rPr>
        <w:t>’</w:t>
      </w:r>
      <w:r w:rsidRPr="009E6F40">
        <w:rPr>
          <w:rStyle w:val="sb8d990e2"/>
          <w:lang w:val="fr-FR"/>
        </w:rPr>
        <w:t>article 35 § 4.</w:t>
      </w:r>
    </w:p>
    <w:p w:rsidR="005E7011" w:rsidRPr="009E6F40" w:rsidRDefault="005E7011" w:rsidP="009E6F40">
      <w:pPr>
        <w:pStyle w:val="JuParaLast"/>
        <w:rPr>
          <w:lang w:val="fr-FR"/>
        </w:rPr>
      </w:pPr>
      <w:r w:rsidRPr="009E6F40">
        <w:rPr>
          <w:lang w:val="fr-FR"/>
        </w:rPr>
        <w:t>Par ces motifs, la Cour, à l</w:t>
      </w:r>
      <w:r w:rsidR="009E6F40" w:rsidRPr="009E6F40">
        <w:rPr>
          <w:lang w:val="fr-FR"/>
        </w:rPr>
        <w:t>’</w:t>
      </w:r>
      <w:r w:rsidRPr="009E6F40">
        <w:rPr>
          <w:lang w:val="fr-FR"/>
        </w:rPr>
        <w:t>unanimité,</w:t>
      </w:r>
    </w:p>
    <w:p w:rsidR="005E7011" w:rsidRPr="009E6F40" w:rsidRDefault="005E7011" w:rsidP="009E6F40">
      <w:pPr>
        <w:pStyle w:val="DecList"/>
        <w:rPr>
          <w:lang w:val="fr-FR"/>
        </w:rPr>
      </w:pPr>
      <w:r w:rsidRPr="009E6F40">
        <w:rPr>
          <w:i/>
          <w:lang w:val="fr-FR"/>
        </w:rPr>
        <w:t>Déclare</w:t>
      </w:r>
      <w:r w:rsidRPr="009E6F40">
        <w:rPr>
          <w:lang w:val="fr-FR"/>
        </w:rPr>
        <w:t xml:space="preserve"> la requête irrecevable.</w:t>
      </w:r>
    </w:p>
    <w:p w:rsidR="006544C4" w:rsidRPr="009E6F40" w:rsidRDefault="006544C4" w:rsidP="009E6F40">
      <w:pPr>
        <w:pStyle w:val="ECHRPara"/>
        <w:rPr>
          <w:sz w:val="2"/>
          <w:szCs w:val="2"/>
          <w:lang w:val="fr-FR" w:eastAsia="en-GB"/>
        </w:rPr>
      </w:pPr>
    </w:p>
    <w:p w:rsidR="006F19B0" w:rsidRPr="009E6F40" w:rsidRDefault="00F40988" w:rsidP="009E6F40">
      <w:pPr>
        <w:pStyle w:val="JuParaLast"/>
        <w:rPr>
          <w:lang w:val="fr-FR"/>
        </w:rPr>
      </w:pPr>
      <w:r w:rsidRPr="009E6F40">
        <w:rPr>
          <w:szCs w:val="24"/>
          <w:lang w:val="fr-FR"/>
        </w:rPr>
        <w:t xml:space="preserve">Fait en français puis communiqué par écrit le </w:t>
      </w:r>
      <w:r w:rsidR="005E7011" w:rsidRPr="009E6F40">
        <w:rPr>
          <w:szCs w:val="24"/>
          <w:lang w:val="fr-FR"/>
        </w:rPr>
        <w:t>12 novembre 2015</w:t>
      </w:r>
      <w:r w:rsidRPr="009E6F40">
        <w:rPr>
          <w:lang w:val="fr-FR"/>
        </w:rPr>
        <w:t>.</w:t>
      </w:r>
    </w:p>
    <w:p w:rsidR="00234E8A" w:rsidRPr="009E6F40" w:rsidRDefault="005E7011" w:rsidP="009E6F40">
      <w:pPr>
        <w:pStyle w:val="JuSigned"/>
        <w:rPr>
          <w:lang w:val="fr-FR"/>
        </w:rPr>
      </w:pPr>
      <w:r w:rsidRPr="009E6F40">
        <w:rPr>
          <w:lang w:val="fr-FR"/>
        </w:rPr>
        <w:tab/>
        <w:t>Fatoş Aracı</w:t>
      </w:r>
      <w:r w:rsidR="006544C4" w:rsidRPr="009E6F40">
        <w:rPr>
          <w:lang w:val="fr-FR"/>
        </w:rPr>
        <w:tab/>
      </w:r>
      <w:r w:rsidRPr="009E6F40">
        <w:rPr>
          <w:lang w:val="fr-FR"/>
        </w:rPr>
        <w:t>Nona Tsotsoria</w:t>
      </w:r>
      <w:r w:rsidR="006544C4" w:rsidRPr="009E6F40">
        <w:rPr>
          <w:lang w:val="fr-FR"/>
        </w:rPr>
        <w:br/>
      </w:r>
      <w:r w:rsidR="006544C4" w:rsidRPr="009E6F40">
        <w:rPr>
          <w:lang w:val="fr-FR"/>
        </w:rPr>
        <w:tab/>
      </w:r>
      <w:r w:rsidRPr="009E6F40">
        <w:rPr>
          <w:lang w:val="fr-FR"/>
        </w:rPr>
        <w:t>Greffière adjointe</w:t>
      </w:r>
      <w:r w:rsidR="006544C4" w:rsidRPr="009E6F40">
        <w:rPr>
          <w:lang w:val="fr-FR"/>
        </w:rPr>
        <w:tab/>
      </w:r>
      <w:r w:rsidRPr="009E6F40">
        <w:rPr>
          <w:lang w:val="fr-FR"/>
        </w:rPr>
        <w:t>Présidente</w:t>
      </w:r>
    </w:p>
    <w:sectPr w:rsidR="00234E8A" w:rsidRPr="009E6F40"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7C" w:rsidRDefault="0085657C" w:rsidP="006544C4">
      <w:r>
        <w:separator/>
      </w:r>
    </w:p>
  </w:endnote>
  <w:endnote w:type="continuationSeparator" w:id="0">
    <w:p w:rsidR="0085657C" w:rsidRDefault="0085657C"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11" w:rsidRPr="00150BFA" w:rsidRDefault="005E7011" w:rsidP="0020718E">
    <w:pPr>
      <w:jc w:val="center"/>
    </w:pPr>
    <w:r>
      <w:rPr>
        <w:noProof/>
        <w:lang w:val="it-IT" w:eastAsia="it-IT"/>
      </w:rPr>
      <w:drawing>
        <wp:inline distT="0" distB="0" distL="0" distR="0" wp14:anchorId="0DB1565E" wp14:editId="674B066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85657C"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7C" w:rsidRDefault="0085657C" w:rsidP="006544C4">
      <w:r>
        <w:separator/>
      </w:r>
    </w:p>
  </w:footnote>
  <w:footnote w:type="continuationSeparator" w:id="0">
    <w:p w:rsidR="0085657C" w:rsidRDefault="0085657C"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5E7011"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254CF5">
      <w:rPr>
        <w:rStyle w:val="Numeropagina"/>
        <w:noProof/>
        <w:lang w:val="en-GB"/>
      </w:rPr>
      <w:t>2</w:t>
    </w:r>
    <w:r>
      <w:rPr>
        <w:rStyle w:val="Numeropagina"/>
        <w:lang w:val="en-GB"/>
      </w:rPr>
      <w:fldChar w:fldCharType="end"/>
    </w:r>
    <w:r w:rsidR="00334EC5" w:rsidRPr="000D527F">
      <w:rPr>
        <w:lang w:val="en-GB"/>
      </w:rPr>
      <w:tab/>
      <w:t xml:space="preserve">DÉCISION </w:t>
    </w:r>
    <w:r>
      <w:rPr>
        <w:lang w:val="en-GB"/>
      </w:rPr>
      <w:t>NARDONE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334EC5" w:rsidP="006544C4">
    <w:pPr>
      <w:pStyle w:val="ECHRHeader"/>
      <w:rPr>
        <w:lang w:val="en-GB"/>
      </w:rPr>
    </w:pPr>
    <w:r>
      <w:tab/>
    </w:r>
    <w:r w:rsidRPr="000D527F">
      <w:rPr>
        <w:lang w:val="en-GB"/>
      </w:rPr>
      <w:t xml:space="preserve">DÉCISION </w:t>
    </w:r>
    <w:r w:rsidR="005E7011">
      <w:rPr>
        <w:lang w:val="en-GB"/>
      </w:rPr>
      <w:t>NARDONE c. ITALIE</w:t>
    </w:r>
    <w:r w:rsidRPr="000D527F">
      <w:rPr>
        <w:lang w:val="en-GB"/>
      </w:rPr>
      <w:tab/>
    </w:r>
    <w:r w:rsidR="005E7011">
      <w:rPr>
        <w:rStyle w:val="Numeropagina"/>
        <w:lang w:val="en-GB"/>
      </w:rPr>
      <w:fldChar w:fldCharType="begin"/>
    </w:r>
    <w:r w:rsidR="005E7011">
      <w:rPr>
        <w:rStyle w:val="Numeropagina"/>
        <w:lang w:val="en-GB"/>
      </w:rPr>
      <w:instrText xml:space="preserve"> PAGE </w:instrText>
    </w:r>
    <w:r w:rsidR="005E7011">
      <w:rPr>
        <w:rStyle w:val="Numeropagina"/>
        <w:lang w:val="en-GB"/>
      </w:rPr>
      <w:fldChar w:fldCharType="separate"/>
    </w:r>
    <w:r w:rsidR="00254CF5">
      <w:rPr>
        <w:rStyle w:val="Numeropagina"/>
        <w:noProof/>
        <w:lang w:val="en-GB"/>
      </w:rPr>
      <w:t>5</w:t>
    </w:r>
    <w:r w:rsidR="005E7011">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11" w:rsidRPr="00A45145" w:rsidRDefault="005E7011" w:rsidP="00A45145">
    <w:pPr>
      <w:jc w:val="center"/>
    </w:pPr>
    <w:r>
      <w:rPr>
        <w:noProof/>
        <w:lang w:val="it-IT" w:eastAsia="it-IT"/>
      </w:rPr>
      <w:drawing>
        <wp:inline distT="0" distB="0" distL="0" distR="0" wp14:anchorId="044CD2EF" wp14:editId="1244DBA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85657C"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5E7011"/>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54CF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E7011"/>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657C"/>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94024"/>
    <w:rsid w:val="009B1B5F"/>
    <w:rsid w:val="009B6673"/>
    <w:rsid w:val="009C191B"/>
    <w:rsid w:val="009C2BD6"/>
    <w:rsid w:val="009E1F32"/>
    <w:rsid w:val="009E6F40"/>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nhideWhenUsed="1" w:qFormat="1"/>
    <w:lsdException w:name="heading 6" w:semiHidden="1" w:uiPriority="98"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5" w:unhideWhenUsed="1"/>
    <w:lsdException w:name="annotation text" w:semiHidden="1" w:uiPriority="0" w:unhideWhenUsed="1"/>
    <w:lsdException w:name="header" w:semiHidden="1" w:uiPriority="82" w:unhideWhenUsed="1"/>
    <w:lsdException w:name="footer" w:semiHidden="1" w:uiPriority="8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48"/>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4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e"/>
    <w:link w:val="JuParaCar"/>
    <w:uiPriority w:val="12"/>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sb8d990e2">
    <w:name w:val="sb8d990e2"/>
    <w:basedOn w:val="Carpredefinitoparagrafo"/>
    <w:rsid w:val="00934A97"/>
  </w:style>
  <w:style w:type="character" w:customStyle="1" w:styleId="JuParaCar">
    <w:name w:val="Ju_Para Car"/>
    <w:link w:val="ECHRPara"/>
    <w:uiPriority w:val="12"/>
    <w:locked/>
    <w:rsid w:val="005E7011"/>
    <w:rPr>
      <w:rFonts w:eastAsiaTheme="minorEastAsia"/>
      <w:sz w:val="24"/>
    </w:rPr>
  </w:style>
  <w:style w:type="character" w:customStyle="1" w:styleId="s6b621b36">
    <w:name w:val="s6b621b36"/>
    <w:basedOn w:val="Carpredefinitoparagrafo"/>
    <w:rsid w:val="005E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0FEA-17A5-4191-A7B3-78136E601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F75026-CE24-4DE2-8BBB-F739CF768729}">
  <ds:schemaRefs>
    <ds:schemaRef ds:uri="http://schemas.microsoft.com/sharepoint/v3/contenttype/forms"/>
  </ds:schemaRefs>
</ds:datastoreItem>
</file>

<file path=customXml/itemProps3.xml><?xml version="1.0" encoding="utf-8"?>
<ds:datastoreItem xmlns:ds="http://schemas.openxmlformats.org/officeDocument/2006/customXml" ds:itemID="{F5D010F8-E291-4D87-B353-1E07625303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59988-C602-4862-A2A6-9A5CC9BD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8815</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2015-12-10T14:55:00Z</dcterms:created>
  <dcterms:modified xsi:type="dcterms:W3CDTF">2015-12-10T14:55:00Z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